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36" w:rsidRPr="008A5666" w:rsidRDefault="00F40236" w:rsidP="008A5666">
      <w:pPr>
        <w:spacing w:line="280" w:lineRule="exact"/>
        <w:jc w:val="center"/>
        <w:rPr>
          <w:rFonts w:ascii="Arial" w:hAnsi="Arial" w:cs="Arial"/>
          <w:b/>
          <w:szCs w:val="24"/>
        </w:rPr>
      </w:pPr>
      <w:proofErr w:type="spellStart"/>
      <w:r w:rsidRPr="008A5666">
        <w:rPr>
          <w:rFonts w:ascii="Arial" w:hAnsi="Arial" w:cs="Arial" w:hint="eastAsia"/>
          <w:b/>
          <w:szCs w:val="24"/>
          <w:lang w:eastAsia="zh-HK"/>
        </w:rPr>
        <w:t>Programm</w:t>
      </w:r>
      <w:r w:rsidR="00A85253">
        <w:rPr>
          <w:rFonts w:ascii="Arial" w:hAnsi="Arial" w:cs="Arial" w:hint="eastAsia"/>
          <w:b/>
          <w:szCs w:val="24"/>
          <w:lang w:eastAsia="zh-HK"/>
        </w:rPr>
        <w:t>e</w:t>
      </w:r>
      <w:proofErr w:type="spellEnd"/>
      <w:r w:rsidR="00A85253">
        <w:rPr>
          <w:rFonts w:ascii="Arial" w:hAnsi="Arial" w:cs="Arial" w:hint="eastAsia"/>
          <w:b/>
          <w:szCs w:val="24"/>
          <w:lang w:eastAsia="zh-HK"/>
        </w:rPr>
        <w:t xml:space="preserve"> Accreditation under the new Q</w:t>
      </w:r>
      <w:r w:rsidR="00A85253">
        <w:rPr>
          <w:rFonts w:ascii="Arial" w:hAnsi="Arial" w:cs="Arial" w:hint="eastAsia"/>
          <w:b/>
          <w:szCs w:val="24"/>
        </w:rPr>
        <w:t xml:space="preserve">ualification </w:t>
      </w:r>
      <w:proofErr w:type="spellStart"/>
      <w:r w:rsidR="00A85253">
        <w:rPr>
          <w:rFonts w:ascii="Arial" w:hAnsi="Arial" w:cs="Arial" w:hint="eastAsia"/>
          <w:b/>
          <w:szCs w:val="24"/>
        </w:rPr>
        <w:t>Programme</w:t>
      </w:r>
      <w:proofErr w:type="spellEnd"/>
    </w:p>
    <w:p w:rsidR="008A5666" w:rsidRDefault="008A5666" w:rsidP="008A5666">
      <w:pPr>
        <w:spacing w:line="280" w:lineRule="exact"/>
        <w:jc w:val="center"/>
        <w:rPr>
          <w:rFonts w:ascii="Arial" w:hAnsi="Arial" w:cs="Arial"/>
          <w:b/>
          <w:sz w:val="22"/>
          <w:lang w:eastAsia="zh-HK"/>
        </w:rPr>
      </w:pPr>
    </w:p>
    <w:p w:rsidR="004C2202" w:rsidRPr="00E8194C" w:rsidRDefault="00FB2CEC" w:rsidP="008A5666">
      <w:pPr>
        <w:spacing w:line="280" w:lineRule="exact"/>
        <w:jc w:val="center"/>
        <w:rPr>
          <w:rFonts w:ascii="Arial" w:hAnsi="Arial" w:cs="Arial"/>
          <w:b/>
          <w:sz w:val="22"/>
        </w:rPr>
      </w:pPr>
      <w:r>
        <w:rPr>
          <w:rFonts w:ascii="Arial" w:hAnsi="Arial" w:cs="Arial" w:hint="eastAsia"/>
          <w:b/>
          <w:sz w:val="22"/>
          <w:lang w:eastAsia="zh-HK"/>
        </w:rPr>
        <w:t xml:space="preserve">Main </w:t>
      </w:r>
      <w:r w:rsidR="00F40236">
        <w:rPr>
          <w:rFonts w:ascii="Arial" w:hAnsi="Arial" w:cs="Arial" w:hint="eastAsia"/>
          <w:b/>
          <w:sz w:val="22"/>
          <w:lang w:eastAsia="zh-HK"/>
        </w:rPr>
        <w:t xml:space="preserve">Areas </w:t>
      </w:r>
      <w:r w:rsidR="00A619B6">
        <w:rPr>
          <w:rFonts w:ascii="Arial" w:hAnsi="Arial" w:cs="Arial" w:hint="eastAsia"/>
          <w:b/>
          <w:sz w:val="22"/>
          <w:lang w:eastAsia="zh-HK"/>
        </w:rPr>
        <w:t>to be considered</w:t>
      </w:r>
      <w:r w:rsidR="005E5A53">
        <w:rPr>
          <w:rFonts w:ascii="Arial" w:hAnsi="Arial" w:cs="Arial" w:hint="eastAsia"/>
          <w:b/>
          <w:sz w:val="22"/>
        </w:rPr>
        <w:t xml:space="preserve"> under the accreditation exercise</w:t>
      </w:r>
    </w:p>
    <w:p w:rsidR="004C2202" w:rsidRDefault="004C2202" w:rsidP="004C2202">
      <w:pPr>
        <w:spacing w:line="280" w:lineRule="exact"/>
        <w:rPr>
          <w:rFonts w:ascii="Arial" w:hAnsi="Arial" w:cs="Arial"/>
          <w:b/>
          <w:sz w:val="22"/>
          <w:lang w:eastAsia="zh-HK"/>
        </w:rPr>
      </w:pPr>
    </w:p>
    <w:p w:rsidR="000975C6" w:rsidRPr="00AF5852" w:rsidRDefault="007D5593" w:rsidP="00DF6F74">
      <w:pPr>
        <w:spacing w:line="280" w:lineRule="exact"/>
        <w:ind w:left="284" w:hangingChars="142" w:hanging="284"/>
        <w:rPr>
          <w:rFonts w:ascii="Arial" w:hAnsi="Arial" w:cs="Arial"/>
          <w:i/>
          <w:sz w:val="20"/>
          <w:szCs w:val="20"/>
          <w:lang w:eastAsia="zh-HK"/>
        </w:rPr>
      </w:pPr>
      <w:r w:rsidRPr="00AF5852">
        <w:rPr>
          <w:rFonts w:ascii="Arial" w:hAnsi="Arial" w:cs="Arial" w:hint="eastAsia"/>
          <w:i/>
          <w:sz w:val="20"/>
          <w:szCs w:val="20"/>
          <w:lang w:eastAsia="zh-HK"/>
        </w:rPr>
        <w:t xml:space="preserve">** Please note that </w:t>
      </w:r>
      <w:r w:rsidR="00612F8C" w:rsidRPr="00AF5852">
        <w:rPr>
          <w:rFonts w:ascii="Arial" w:hAnsi="Arial" w:cs="Arial" w:hint="eastAsia"/>
          <w:i/>
          <w:sz w:val="20"/>
          <w:szCs w:val="20"/>
          <w:lang w:eastAsia="zh-HK"/>
        </w:rPr>
        <w:t xml:space="preserve">a number of factors would be considered for </w:t>
      </w:r>
      <w:r w:rsidRPr="00AF5852">
        <w:rPr>
          <w:rFonts w:ascii="Arial" w:hAnsi="Arial" w:cs="Arial" w:hint="eastAsia"/>
          <w:i/>
          <w:sz w:val="20"/>
          <w:szCs w:val="20"/>
          <w:lang w:eastAsia="zh-HK"/>
        </w:rPr>
        <w:t xml:space="preserve">approval of </w:t>
      </w:r>
      <w:proofErr w:type="spellStart"/>
      <w:r w:rsidRPr="00AF5852">
        <w:rPr>
          <w:rFonts w:ascii="Arial" w:hAnsi="Arial" w:cs="Arial" w:hint="eastAsia"/>
          <w:i/>
          <w:sz w:val="20"/>
          <w:szCs w:val="20"/>
          <w:lang w:eastAsia="zh-HK"/>
        </w:rPr>
        <w:t>programme</w:t>
      </w:r>
      <w:proofErr w:type="spellEnd"/>
      <w:r w:rsidRPr="00AF5852">
        <w:rPr>
          <w:rFonts w:ascii="Arial" w:hAnsi="Arial" w:cs="Arial" w:hint="eastAsia"/>
          <w:i/>
          <w:sz w:val="20"/>
          <w:szCs w:val="20"/>
          <w:lang w:eastAsia="zh-HK"/>
        </w:rPr>
        <w:t xml:space="preserve"> accreditation, which include but not limited to the following:</w:t>
      </w:r>
    </w:p>
    <w:p w:rsidR="007D5593" w:rsidRDefault="007D5593" w:rsidP="007D5593">
      <w:pPr>
        <w:spacing w:line="280" w:lineRule="exact"/>
        <w:rPr>
          <w:rFonts w:ascii="Arial" w:hAnsi="Arial" w:cs="Arial"/>
          <w:sz w:val="22"/>
          <w:lang w:eastAsia="zh-HK"/>
        </w:rPr>
      </w:pPr>
    </w:p>
    <w:p w:rsidR="004C2202" w:rsidRPr="00E100C4" w:rsidRDefault="00E100C4" w:rsidP="004C2202">
      <w:pPr>
        <w:spacing w:line="280" w:lineRule="exact"/>
        <w:rPr>
          <w:rFonts w:ascii="Arial" w:hAnsi="Arial" w:cs="Arial"/>
          <w:b/>
          <w:sz w:val="22"/>
          <w:lang w:eastAsia="zh-HK"/>
        </w:rPr>
      </w:pPr>
      <w:proofErr w:type="gramStart"/>
      <w:r w:rsidRPr="00E100C4">
        <w:rPr>
          <w:rFonts w:ascii="Arial" w:hAnsi="Arial" w:cs="Arial" w:hint="eastAsia"/>
          <w:b/>
          <w:sz w:val="22"/>
          <w:lang w:eastAsia="zh-HK"/>
        </w:rPr>
        <w:t>1  Teaching</w:t>
      </w:r>
      <w:proofErr w:type="gramEnd"/>
      <w:r w:rsidRPr="00E100C4">
        <w:rPr>
          <w:rFonts w:ascii="Arial" w:hAnsi="Arial" w:cs="Arial" w:hint="eastAsia"/>
          <w:b/>
          <w:sz w:val="22"/>
          <w:lang w:eastAsia="zh-HK"/>
        </w:rPr>
        <w:t xml:space="preserve"> Staff/ management team and resources</w:t>
      </w:r>
    </w:p>
    <w:p w:rsidR="00E100C4" w:rsidRDefault="00E100C4" w:rsidP="004C2202">
      <w:pPr>
        <w:spacing w:line="280" w:lineRule="exact"/>
        <w:rPr>
          <w:rFonts w:ascii="Arial" w:hAnsi="Arial" w:cs="Arial"/>
          <w:sz w:val="22"/>
          <w:lang w:eastAsia="zh-HK"/>
        </w:rPr>
      </w:pPr>
    </w:p>
    <w:p w:rsidR="00612F8C" w:rsidRPr="006F12BC" w:rsidRDefault="00612F8C" w:rsidP="00EA41A9">
      <w:pPr>
        <w:spacing w:line="280" w:lineRule="exact"/>
        <w:rPr>
          <w:rFonts w:ascii="Arial" w:hAnsi="Arial" w:cs="Arial"/>
          <w:sz w:val="22"/>
          <w:lang w:eastAsia="zh-HK"/>
        </w:rPr>
      </w:pPr>
      <w:r w:rsidRPr="006F12BC">
        <w:rPr>
          <w:rFonts w:ascii="Arial" w:hAnsi="Arial" w:cs="Arial" w:hint="eastAsia"/>
          <w:sz w:val="22"/>
          <w:lang w:eastAsia="zh-HK"/>
        </w:rPr>
        <w:t xml:space="preserve">The effectiveness of teaching largely counts on the qualifications and experience of academic staff.  It can be demonstrated by, inter alia, their research and </w:t>
      </w:r>
      <w:r w:rsidRPr="006F12BC">
        <w:rPr>
          <w:rFonts w:ascii="Arial" w:hAnsi="Arial" w:cs="Arial"/>
          <w:sz w:val="22"/>
          <w:lang w:eastAsia="zh-HK"/>
        </w:rPr>
        <w:t>subj</w:t>
      </w:r>
      <w:r w:rsidRPr="006F12BC">
        <w:rPr>
          <w:rFonts w:ascii="Arial" w:hAnsi="Arial" w:cs="Arial" w:hint="eastAsia"/>
          <w:sz w:val="22"/>
          <w:lang w:eastAsia="zh-HK"/>
        </w:rPr>
        <w:t xml:space="preserve">ect strengths, articles, referred papers, consultancy and other contributions to their profession.  </w:t>
      </w:r>
      <w:r w:rsidR="00253D9A" w:rsidRPr="006F12BC">
        <w:rPr>
          <w:rFonts w:ascii="Arial" w:hAnsi="Arial" w:cs="Arial" w:hint="eastAsia"/>
          <w:sz w:val="22"/>
          <w:lang w:eastAsia="zh-HK"/>
        </w:rPr>
        <w:t xml:space="preserve">Policies of staff training and development, professional activities of staff, the potential for </w:t>
      </w:r>
      <w:r w:rsidR="00253D9A" w:rsidRPr="006F12BC">
        <w:rPr>
          <w:rFonts w:ascii="Arial" w:hAnsi="Arial" w:cs="Arial"/>
          <w:sz w:val="22"/>
          <w:lang w:eastAsia="zh-HK"/>
        </w:rPr>
        <w:t>future</w:t>
      </w:r>
      <w:r w:rsidR="00253D9A" w:rsidRPr="006F12BC">
        <w:rPr>
          <w:rFonts w:ascii="Arial" w:hAnsi="Arial" w:cs="Arial" w:hint="eastAsia"/>
          <w:sz w:val="22"/>
          <w:lang w:eastAsia="zh-HK"/>
        </w:rPr>
        <w:t xml:space="preserve"> development and training and quality of programme leadership and management also have a bearing </w:t>
      </w:r>
      <w:r w:rsidR="00AF5852" w:rsidRPr="006F12BC">
        <w:rPr>
          <w:rFonts w:ascii="Arial" w:hAnsi="Arial" w:cs="Arial" w:hint="eastAsia"/>
          <w:sz w:val="22"/>
          <w:lang w:eastAsia="zh-HK"/>
        </w:rPr>
        <w:t xml:space="preserve">on the programme's teaching effectiveness. </w:t>
      </w:r>
      <w:r w:rsidR="006F12BC">
        <w:rPr>
          <w:rFonts w:ascii="Arial" w:hAnsi="Arial" w:cs="Arial" w:hint="eastAsia"/>
          <w:sz w:val="22"/>
          <w:lang w:eastAsia="zh-HK"/>
        </w:rPr>
        <w:t xml:space="preserve"> </w:t>
      </w:r>
      <w:r w:rsidR="00F75308">
        <w:rPr>
          <w:rFonts w:ascii="Arial" w:hAnsi="Arial" w:cs="Arial" w:hint="eastAsia"/>
          <w:sz w:val="22"/>
          <w:lang w:eastAsia="zh-HK"/>
        </w:rPr>
        <w:t xml:space="preserve">Aspects of </w:t>
      </w:r>
      <w:r w:rsidR="006F12BC">
        <w:rPr>
          <w:rFonts w:ascii="Arial" w:hAnsi="Arial" w:cs="Arial" w:hint="eastAsia"/>
          <w:sz w:val="22"/>
          <w:lang w:eastAsia="zh-HK"/>
        </w:rPr>
        <w:t>consideration</w:t>
      </w:r>
      <w:r w:rsidR="00936D17">
        <w:rPr>
          <w:rFonts w:ascii="Arial" w:hAnsi="Arial" w:cs="Arial" w:hint="eastAsia"/>
          <w:sz w:val="22"/>
        </w:rPr>
        <w:t xml:space="preserve"> may</w:t>
      </w:r>
      <w:r w:rsidR="00936D17" w:rsidRPr="00F75308">
        <w:rPr>
          <w:rFonts w:ascii="Arial" w:hAnsi="Arial" w:cs="Arial" w:hint="eastAsia"/>
          <w:sz w:val="22"/>
          <w:lang w:eastAsia="zh-HK"/>
        </w:rPr>
        <w:t xml:space="preserve"> include</w:t>
      </w:r>
      <w:r w:rsidR="00936D17">
        <w:rPr>
          <w:rFonts w:ascii="Arial" w:hAnsi="Arial" w:cs="Arial" w:hint="eastAsia"/>
          <w:sz w:val="22"/>
        </w:rPr>
        <w:t xml:space="preserve"> but not limited to the following</w:t>
      </w:r>
      <w:r w:rsidR="006F12BC">
        <w:rPr>
          <w:rFonts w:ascii="Arial" w:hAnsi="Arial" w:cs="Arial" w:hint="eastAsia"/>
          <w:sz w:val="22"/>
          <w:lang w:eastAsia="zh-HK"/>
        </w:rPr>
        <w:t>:</w:t>
      </w:r>
    </w:p>
    <w:p w:rsidR="00612F8C" w:rsidRPr="00E8194C" w:rsidRDefault="00612F8C" w:rsidP="004C2202">
      <w:pPr>
        <w:spacing w:line="280" w:lineRule="exact"/>
        <w:rPr>
          <w:rFonts w:ascii="Arial" w:hAnsi="Arial" w:cs="Arial"/>
          <w:sz w:val="22"/>
          <w:lang w:eastAsia="zh-HK"/>
        </w:rPr>
      </w:pPr>
    </w:p>
    <w:p w:rsidR="00E100C4" w:rsidRDefault="00A619B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N</w:t>
      </w:r>
      <w:r w:rsidR="00E100C4" w:rsidRPr="009E3A5B">
        <w:rPr>
          <w:rFonts w:ascii="Arial" w:hAnsi="Arial" w:cs="Arial" w:hint="eastAsia"/>
          <w:sz w:val="22"/>
          <w:lang w:eastAsia="zh-HK"/>
        </w:rPr>
        <w:t xml:space="preserve">umber of </w:t>
      </w:r>
      <w:r w:rsidR="00E100C4" w:rsidRPr="009E3A5B">
        <w:rPr>
          <w:rFonts w:ascii="Arial" w:hAnsi="Arial" w:cs="Arial"/>
          <w:sz w:val="22"/>
          <w:lang w:eastAsia="zh-HK"/>
        </w:rPr>
        <w:t>teaching staff</w:t>
      </w:r>
      <w:r w:rsidR="00E100C4" w:rsidRPr="009E3A5B">
        <w:rPr>
          <w:rFonts w:ascii="Arial" w:hAnsi="Arial" w:cs="Arial" w:hint="eastAsia"/>
          <w:sz w:val="22"/>
          <w:lang w:eastAsia="zh-HK"/>
        </w:rPr>
        <w:t xml:space="preserve"> </w:t>
      </w:r>
      <w:r>
        <w:rPr>
          <w:rFonts w:ascii="Arial" w:hAnsi="Arial" w:cs="Arial" w:hint="eastAsia"/>
          <w:sz w:val="22"/>
          <w:lang w:eastAsia="zh-HK"/>
        </w:rPr>
        <w:t>and their</w:t>
      </w:r>
      <w:r w:rsidR="00E100C4" w:rsidRPr="009E3A5B">
        <w:rPr>
          <w:rFonts w:ascii="Arial" w:hAnsi="Arial" w:cs="Arial" w:hint="eastAsia"/>
          <w:sz w:val="22"/>
          <w:lang w:eastAsia="zh-HK"/>
        </w:rPr>
        <w:t xml:space="preserve"> academic and professional qualifications</w:t>
      </w:r>
      <w:r>
        <w:rPr>
          <w:rFonts w:ascii="Arial" w:hAnsi="Arial" w:cs="Arial" w:hint="eastAsia"/>
          <w:sz w:val="22"/>
          <w:lang w:eastAsia="zh-HK"/>
        </w:rPr>
        <w:t>.</w:t>
      </w:r>
    </w:p>
    <w:p w:rsidR="00A619B6" w:rsidRDefault="00A619B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Adequacy and relevancy of tertiary teaching experience.</w:t>
      </w:r>
    </w:p>
    <w:p w:rsidR="009E3A5B" w:rsidRDefault="00C461E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T</w:t>
      </w:r>
      <w:r w:rsidR="009E3A5B">
        <w:rPr>
          <w:rFonts w:ascii="Arial" w:hAnsi="Arial" w:cs="Arial" w:hint="eastAsia"/>
          <w:sz w:val="22"/>
          <w:lang w:eastAsia="zh-HK"/>
        </w:rPr>
        <w:t xml:space="preserve">urnover rate </w:t>
      </w:r>
      <w:r w:rsidR="00E100C4">
        <w:rPr>
          <w:rFonts w:ascii="Arial" w:hAnsi="Arial" w:cs="Arial" w:hint="eastAsia"/>
          <w:sz w:val="22"/>
          <w:lang w:eastAsia="zh-HK"/>
        </w:rPr>
        <w:t xml:space="preserve">of </w:t>
      </w:r>
      <w:r>
        <w:rPr>
          <w:rFonts w:ascii="Arial" w:hAnsi="Arial" w:cs="Arial" w:hint="eastAsia"/>
          <w:sz w:val="22"/>
          <w:lang w:eastAsia="zh-HK"/>
        </w:rPr>
        <w:t xml:space="preserve">teachers of </w:t>
      </w:r>
      <w:r w:rsidR="00E100C4">
        <w:rPr>
          <w:rFonts w:ascii="Arial" w:hAnsi="Arial" w:cs="Arial" w:hint="eastAsia"/>
          <w:sz w:val="22"/>
          <w:lang w:eastAsia="zh-HK"/>
        </w:rPr>
        <w:t>the Programme</w:t>
      </w:r>
      <w:r w:rsidR="00A619B6">
        <w:rPr>
          <w:rFonts w:ascii="Arial" w:hAnsi="Arial" w:cs="Arial" w:hint="eastAsia"/>
          <w:sz w:val="22"/>
          <w:lang w:eastAsia="zh-HK"/>
        </w:rPr>
        <w:t>.</w:t>
      </w:r>
    </w:p>
    <w:p w:rsidR="00435D05" w:rsidRPr="00E8194C" w:rsidRDefault="00A619B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P</w:t>
      </w:r>
      <w:r w:rsidR="00435D05" w:rsidRPr="00E8194C">
        <w:rPr>
          <w:rFonts w:ascii="Arial" w:hAnsi="Arial" w:cs="Arial"/>
          <w:sz w:val="22"/>
          <w:lang w:eastAsia="zh-HK"/>
        </w:rPr>
        <w:t xml:space="preserve">roportion of </w:t>
      </w:r>
      <w:r w:rsidR="00E62AC3" w:rsidRPr="00E8194C">
        <w:rPr>
          <w:rFonts w:ascii="Arial" w:hAnsi="Arial" w:cs="Arial"/>
          <w:sz w:val="22"/>
          <w:lang w:eastAsia="zh-HK"/>
        </w:rPr>
        <w:t xml:space="preserve">senior </w:t>
      </w:r>
      <w:r>
        <w:rPr>
          <w:rFonts w:ascii="Arial" w:hAnsi="Arial" w:cs="Arial" w:hint="eastAsia"/>
          <w:sz w:val="22"/>
          <w:lang w:eastAsia="zh-HK"/>
        </w:rPr>
        <w:t>to</w:t>
      </w:r>
      <w:r w:rsidR="00E62AC3" w:rsidRPr="00E8194C">
        <w:rPr>
          <w:rFonts w:ascii="Arial" w:hAnsi="Arial" w:cs="Arial"/>
          <w:sz w:val="22"/>
          <w:lang w:eastAsia="zh-HK"/>
        </w:rPr>
        <w:t xml:space="preserve"> junior</w:t>
      </w:r>
      <w:r w:rsidR="00435D05" w:rsidRPr="00E8194C">
        <w:rPr>
          <w:rFonts w:ascii="Arial" w:hAnsi="Arial" w:cs="Arial"/>
          <w:sz w:val="22"/>
          <w:lang w:eastAsia="zh-HK"/>
        </w:rPr>
        <w:t xml:space="preserve"> </w:t>
      </w:r>
      <w:r>
        <w:rPr>
          <w:rFonts w:ascii="Arial" w:hAnsi="Arial" w:cs="Arial" w:hint="eastAsia"/>
          <w:sz w:val="22"/>
          <w:lang w:eastAsia="zh-HK"/>
        </w:rPr>
        <w:t>rank; full-time to part-time teachers.</w:t>
      </w:r>
    </w:p>
    <w:p w:rsidR="00435D05" w:rsidRDefault="00C461E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Maximum c</w:t>
      </w:r>
      <w:r w:rsidR="00E62AC3" w:rsidRPr="00E8194C">
        <w:rPr>
          <w:rFonts w:ascii="Arial" w:hAnsi="Arial" w:cs="Arial"/>
          <w:sz w:val="22"/>
          <w:lang w:eastAsia="zh-HK"/>
        </w:rPr>
        <w:t>lass size</w:t>
      </w:r>
      <w:r>
        <w:rPr>
          <w:rFonts w:ascii="Arial" w:hAnsi="Arial" w:cs="Arial" w:hint="eastAsia"/>
          <w:sz w:val="22"/>
          <w:lang w:eastAsia="zh-HK"/>
        </w:rPr>
        <w:t xml:space="preserve"> for lectures and tutorials.</w:t>
      </w:r>
      <w:r w:rsidR="009E3A5B">
        <w:rPr>
          <w:rFonts w:ascii="Arial" w:hAnsi="Arial" w:cs="Arial" w:hint="eastAsia"/>
          <w:sz w:val="22"/>
          <w:lang w:eastAsia="zh-HK"/>
        </w:rPr>
        <w:t xml:space="preserve"> </w:t>
      </w:r>
    </w:p>
    <w:p w:rsidR="009E3A5B" w:rsidRPr="00E8194C" w:rsidRDefault="00C461E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 xml:space="preserve">Teaching load and other work load. </w:t>
      </w:r>
    </w:p>
    <w:p w:rsidR="00435D05" w:rsidRDefault="00C461E6" w:rsidP="00AF5852">
      <w:pPr>
        <w:pStyle w:val="ListParagraph"/>
        <w:numPr>
          <w:ilvl w:val="0"/>
          <w:numId w:val="3"/>
        </w:numPr>
        <w:spacing w:line="280" w:lineRule="exact"/>
        <w:ind w:leftChars="0"/>
        <w:rPr>
          <w:rFonts w:ascii="Arial" w:hAnsi="Arial" w:cs="Arial"/>
          <w:sz w:val="22"/>
          <w:lang w:eastAsia="zh-HK"/>
        </w:rPr>
      </w:pPr>
      <w:r>
        <w:rPr>
          <w:rFonts w:ascii="Arial" w:hAnsi="Arial" w:cs="Arial" w:hint="eastAsia"/>
          <w:sz w:val="22"/>
          <w:lang w:eastAsia="zh-HK"/>
        </w:rPr>
        <w:t>S</w:t>
      </w:r>
      <w:r w:rsidR="00DC4213">
        <w:rPr>
          <w:rFonts w:ascii="Arial" w:hAnsi="Arial" w:cs="Arial" w:hint="eastAsia"/>
          <w:sz w:val="22"/>
          <w:lang w:eastAsia="zh-HK"/>
        </w:rPr>
        <w:t>taff training and development</w:t>
      </w:r>
      <w:r>
        <w:rPr>
          <w:rFonts w:ascii="Arial" w:hAnsi="Arial" w:cs="Arial" w:hint="eastAsia"/>
          <w:sz w:val="22"/>
          <w:lang w:eastAsia="zh-HK"/>
        </w:rPr>
        <w:t xml:space="preserve"> policy.</w:t>
      </w:r>
    </w:p>
    <w:p w:rsidR="00E62AC3" w:rsidRPr="00C461E6" w:rsidRDefault="00C461E6" w:rsidP="00AF5852">
      <w:pPr>
        <w:pStyle w:val="ListParagraph"/>
        <w:numPr>
          <w:ilvl w:val="0"/>
          <w:numId w:val="3"/>
        </w:numPr>
        <w:spacing w:line="280" w:lineRule="exact"/>
        <w:ind w:leftChars="0"/>
        <w:rPr>
          <w:rFonts w:ascii="Arial" w:hAnsi="Arial" w:cs="Arial"/>
          <w:sz w:val="22"/>
          <w:u w:val="single"/>
          <w:lang w:eastAsia="zh-HK"/>
        </w:rPr>
      </w:pPr>
      <w:r>
        <w:rPr>
          <w:rFonts w:ascii="Arial" w:hAnsi="Arial" w:cs="Arial" w:hint="eastAsia"/>
          <w:sz w:val="22"/>
          <w:lang w:eastAsia="zh-HK"/>
        </w:rPr>
        <w:t>Policy of p</w:t>
      </w:r>
      <w:r w:rsidR="00051814" w:rsidRPr="00C461E6">
        <w:rPr>
          <w:rFonts w:ascii="Arial" w:hAnsi="Arial" w:cs="Arial" w:hint="eastAsia"/>
          <w:sz w:val="22"/>
          <w:lang w:eastAsia="zh-HK"/>
        </w:rPr>
        <w:t xml:space="preserve">erformance </w:t>
      </w:r>
      <w:r w:rsidR="00DC4213" w:rsidRPr="00C461E6">
        <w:rPr>
          <w:rFonts w:ascii="Arial" w:hAnsi="Arial" w:cs="Arial" w:hint="eastAsia"/>
          <w:sz w:val="22"/>
          <w:lang w:eastAsia="zh-HK"/>
        </w:rPr>
        <w:t>appraisal</w:t>
      </w:r>
      <w:r w:rsidR="00051814" w:rsidRPr="00C461E6">
        <w:rPr>
          <w:rFonts w:ascii="Arial" w:hAnsi="Arial" w:cs="Arial" w:hint="eastAsia"/>
          <w:sz w:val="22"/>
          <w:lang w:eastAsia="zh-HK"/>
        </w:rPr>
        <w:t xml:space="preserve"> </w:t>
      </w:r>
      <w:r>
        <w:rPr>
          <w:rFonts w:ascii="Arial" w:hAnsi="Arial" w:cs="Arial" w:hint="eastAsia"/>
          <w:sz w:val="22"/>
          <w:lang w:eastAsia="zh-HK"/>
        </w:rPr>
        <w:t>for</w:t>
      </w:r>
      <w:r w:rsidR="00051814" w:rsidRPr="00C461E6">
        <w:rPr>
          <w:rFonts w:ascii="Arial" w:hAnsi="Arial" w:cs="Arial" w:hint="eastAsia"/>
          <w:sz w:val="22"/>
          <w:lang w:eastAsia="zh-HK"/>
        </w:rPr>
        <w:t xml:space="preserve"> </w:t>
      </w:r>
      <w:r w:rsidR="00051814" w:rsidRPr="00C461E6">
        <w:rPr>
          <w:rFonts w:ascii="Arial" w:hAnsi="Arial" w:cs="Arial"/>
          <w:sz w:val="22"/>
          <w:lang w:eastAsia="zh-HK"/>
        </w:rPr>
        <w:t>teaching</w:t>
      </w:r>
      <w:r w:rsidR="00051814" w:rsidRPr="00C461E6">
        <w:rPr>
          <w:rFonts w:ascii="Arial" w:hAnsi="Arial" w:cs="Arial" w:hint="eastAsia"/>
          <w:sz w:val="22"/>
          <w:lang w:eastAsia="zh-HK"/>
        </w:rPr>
        <w:t xml:space="preserve"> staff</w:t>
      </w:r>
      <w:r>
        <w:rPr>
          <w:rFonts w:ascii="Arial" w:hAnsi="Arial" w:cs="Arial" w:hint="eastAsia"/>
          <w:sz w:val="22"/>
          <w:lang w:eastAsia="zh-HK"/>
        </w:rPr>
        <w:t>.</w:t>
      </w:r>
    </w:p>
    <w:p w:rsidR="001533CD" w:rsidRDefault="001533CD" w:rsidP="001533CD">
      <w:pPr>
        <w:spacing w:line="280" w:lineRule="exact"/>
        <w:rPr>
          <w:rFonts w:ascii="Arial" w:hAnsi="Arial" w:cs="Arial"/>
          <w:b/>
          <w:sz w:val="22"/>
          <w:lang w:eastAsia="zh-HK"/>
        </w:rPr>
      </w:pPr>
    </w:p>
    <w:p w:rsidR="00C461E6" w:rsidRPr="00E8194C" w:rsidRDefault="00C461E6" w:rsidP="001533CD">
      <w:pPr>
        <w:spacing w:line="280" w:lineRule="exact"/>
        <w:rPr>
          <w:rFonts w:ascii="Arial" w:hAnsi="Arial" w:cs="Arial"/>
          <w:b/>
          <w:sz w:val="22"/>
          <w:lang w:eastAsia="zh-HK"/>
        </w:rPr>
      </w:pPr>
    </w:p>
    <w:p w:rsidR="001533CD" w:rsidRPr="00E8194C" w:rsidRDefault="007A1D34" w:rsidP="007A1D34">
      <w:pPr>
        <w:spacing w:line="280" w:lineRule="exact"/>
        <w:ind w:left="425" w:hangingChars="193" w:hanging="425"/>
        <w:rPr>
          <w:rFonts w:ascii="Arial" w:hAnsi="Arial" w:cs="Arial"/>
          <w:b/>
          <w:sz w:val="22"/>
          <w:lang w:eastAsia="zh-HK"/>
        </w:rPr>
      </w:pPr>
      <w:r>
        <w:rPr>
          <w:rFonts w:ascii="Arial" w:hAnsi="Arial" w:cs="Arial" w:hint="eastAsia"/>
          <w:b/>
          <w:sz w:val="22"/>
          <w:lang w:eastAsia="zh-HK"/>
        </w:rPr>
        <w:t>2</w:t>
      </w:r>
      <w:r>
        <w:rPr>
          <w:rFonts w:ascii="Arial" w:hAnsi="Arial" w:cs="Arial"/>
          <w:b/>
          <w:sz w:val="22"/>
          <w:lang w:eastAsia="zh-HK"/>
        </w:rPr>
        <w:tab/>
      </w:r>
      <w:r w:rsidR="001533CD" w:rsidRPr="00E8194C">
        <w:rPr>
          <w:rFonts w:ascii="Arial" w:hAnsi="Arial" w:cs="Arial"/>
          <w:b/>
          <w:sz w:val="22"/>
          <w:lang w:eastAsia="zh-HK"/>
        </w:rPr>
        <w:t>Admission standard &amp; exemption / advanced standing policy</w:t>
      </w:r>
    </w:p>
    <w:p w:rsidR="001533CD" w:rsidRDefault="001533CD" w:rsidP="001533CD">
      <w:pPr>
        <w:spacing w:line="280" w:lineRule="exact"/>
        <w:rPr>
          <w:rFonts w:ascii="Arial" w:hAnsi="Arial" w:cs="Arial"/>
          <w:sz w:val="22"/>
          <w:lang w:eastAsia="zh-HK"/>
        </w:rPr>
      </w:pPr>
    </w:p>
    <w:p w:rsidR="000D1B3A" w:rsidRPr="00F75308" w:rsidRDefault="00612F8C" w:rsidP="001533CD">
      <w:pPr>
        <w:spacing w:line="280" w:lineRule="exact"/>
        <w:rPr>
          <w:rFonts w:ascii="Arial" w:hAnsi="Arial" w:cs="Arial"/>
          <w:sz w:val="22"/>
          <w:lang w:eastAsia="zh-HK"/>
        </w:rPr>
      </w:pPr>
      <w:r w:rsidRPr="00F75308">
        <w:rPr>
          <w:rFonts w:ascii="Arial" w:hAnsi="Arial" w:cs="Arial" w:hint="eastAsia"/>
          <w:sz w:val="22"/>
          <w:lang w:eastAsia="zh-HK"/>
        </w:rPr>
        <w:t xml:space="preserve">The standard for entry to the </w:t>
      </w:r>
      <w:r w:rsidR="000D1B3A" w:rsidRPr="00F75308">
        <w:rPr>
          <w:rFonts w:ascii="Arial" w:hAnsi="Arial" w:cs="Arial" w:hint="eastAsia"/>
          <w:sz w:val="22"/>
          <w:lang w:eastAsia="zh-HK"/>
        </w:rPr>
        <w:t xml:space="preserve">programme should as a minimum be at a level which supports a reasonable expectation that the student has the intellectual capacity and pre-entry educational attainment to complete the programme successfully.  </w:t>
      </w:r>
      <w:r w:rsidR="00253D9A" w:rsidRPr="00F75308">
        <w:rPr>
          <w:rFonts w:ascii="Arial" w:hAnsi="Arial" w:cs="Arial" w:hint="eastAsia"/>
          <w:sz w:val="22"/>
          <w:lang w:eastAsia="zh-HK"/>
        </w:rPr>
        <w:t xml:space="preserve">Policies and guidelines adopted for determining the number of exemptions granted to eligible candidates are also considered. </w:t>
      </w:r>
      <w:r w:rsidR="00F75308" w:rsidRPr="00F75308">
        <w:rPr>
          <w:rFonts w:ascii="Arial" w:hAnsi="Arial" w:cs="Arial" w:hint="eastAsia"/>
          <w:sz w:val="22"/>
          <w:lang w:eastAsia="zh-HK"/>
        </w:rPr>
        <w:t xml:space="preserve"> Aspects of consideration</w:t>
      </w:r>
      <w:r w:rsidR="00936D17">
        <w:rPr>
          <w:rFonts w:ascii="Arial" w:hAnsi="Arial" w:cs="Arial" w:hint="eastAsia"/>
          <w:sz w:val="22"/>
        </w:rPr>
        <w:t xml:space="preserve"> may</w:t>
      </w:r>
      <w:r w:rsidR="00F75308" w:rsidRPr="00F75308">
        <w:rPr>
          <w:rFonts w:ascii="Arial" w:hAnsi="Arial" w:cs="Arial" w:hint="eastAsia"/>
          <w:sz w:val="22"/>
          <w:lang w:eastAsia="zh-HK"/>
        </w:rPr>
        <w:t xml:space="preserve"> include</w:t>
      </w:r>
      <w:r w:rsidR="00936D17">
        <w:rPr>
          <w:rFonts w:ascii="Arial" w:hAnsi="Arial" w:cs="Arial" w:hint="eastAsia"/>
          <w:sz w:val="22"/>
        </w:rPr>
        <w:t xml:space="preserve"> but not limited to the following</w:t>
      </w:r>
      <w:r w:rsidR="00F75308" w:rsidRPr="00F75308">
        <w:rPr>
          <w:rFonts w:ascii="Arial" w:hAnsi="Arial" w:cs="Arial" w:hint="eastAsia"/>
          <w:sz w:val="22"/>
          <w:lang w:eastAsia="zh-HK"/>
        </w:rPr>
        <w:t xml:space="preserve">: </w:t>
      </w:r>
    </w:p>
    <w:p w:rsidR="00612F8C" w:rsidRPr="00F75308" w:rsidRDefault="00612F8C" w:rsidP="001533CD">
      <w:pPr>
        <w:spacing w:line="280" w:lineRule="exact"/>
        <w:rPr>
          <w:rFonts w:ascii="Arial" w:hAnsi="Arial" w:cs="Arial"/>
          <w:sz w:val="22"/>
          <w:lang w:eastAsia="zh-HK"/>
        </w:rPr>
      </w:pPr>
    </w:p>
    <w:p w:rsidR="00BD24B5" w:rsidRPr="00E8194C" w:rsidRDefault="00C461E6" w:rsidP="00AF5852">
      <w:pPr>
        <w:pStyle w:val="ListParagraph"/>
        <w:numPr>
          <w:ilvl w:val="0"/>
          <w:numId w:val="4"/>
        </w:numPr>
        <w:spacing w:line="280" w:lineRule="exact"/>
        <w:ind w:leftChars="0" w:left="426" w:hanging="426"/>
        <w:rPr>
          <w:rFonts w:ascii="Arial" w:hAnsi="Arial" w:cs="Arial"/>
          <w:sz w:val="22"/>
          <w:lang w:eastAsia="zh-HK"/>
        </w:rPr>
      </w:pPr>
      <w:r>
        <w:rPr>
          <w:rFonts w:ascii="Arial" w:hAnsi="Arial" w:cs="Arial" w:hint="eastAsia"/>
          <w:sz w:val="22"/>
          <w:lang w:eastAsia="zh-HK"/>
        </w:rPr>
        <w:t>A</w:t>
      </w:r>
      <w:r w:rsidR="005C59D6" w:rsidRPr="00E8194C">
        <w:rPr>
          <w:rFonts w:ascii="Arial" w:hAnsi="Arial" w:cs="Arial"/>
          <w:sz w:val="22"/>
          <w:lang w:eastAsia="zh-HK"/>
        </w:rPr>
        <w:t xml:space="preserve">dmission </w:t>
      </w:r>
      <w:r w:rsidR="00BD24B5" w:rsidRPr="00E8194C">
        <w:rPr>
          <w:rFonts w:ascii="Arial" w:hAnsi="Arial" w:cs="Arial"/>
          <w:sz w:val="22"/>
          <w:lang w:eastAsia="zh-HK"/>
        </w:rPr>
        <w:t xml:space="preserve">standards and </w:t>
      </w:r>
      <w:r>
        <w:rPr>
          <w:rFonts w:ascii="Arial" w:hAnsi="Arial" w:cs="Arial" w:hint="eastAsia"/>
          <w:sz w:val="22"/>
          <w:lang w:eastAsia="zh-HK"/>
        </w:rPr>
        <w:t xml:space="preserve">entry </w:t>
      </w:r>
      <w:r w:rsidR="00BD24B5" w:rsidRPr="00E8194C">
        <w:rPr>
          <w:rFonts w:ascii="Arial" w:hAnsi="Arial" w:cs="Arial"/>
          <w:sz w:val="22"/>
          <w:lang w:eastAsia="zh-HK"/>
        </w:rPr>
        <w:t>requirements</w:t>
      </w:r>
      <w:r>
        <w:rPr>
          <w:rFonts w:ascii="Arial" w:hAnsi="Arial" w:cs="Arial" w:hint="eastAsia"/>
          <w:sz w:val="22"/>
          <w:lang w:eastAsia="zh-HK"/>
        </w:rPr>
        <w:t>.</w:t>
      </w:r>
    </w:p>
    <w:p w:rsidR="00D6754E" w:rsidRDefault="00A619B6" w:rsidP="00AF5852">
      <w:pPr>
        <w:pStyle w:val="ListParagraph"/>
        <w:numPr>
          <w:ilvl w:val="0"/>
          <w:numId w:val="4"/>
        </w:numPr>
        <w:spacing w:line="280" w:lineRule="exact"/>
        <w:ind w:leftChars="0" w:left="426" w:hanging="426"/>
        <w:rPr>
          <w:rFonts w:ascii="Arial" w:hAnsi="Arial" w:cs="Arial"/>
          <w:sz w:val="22"/>
          <w:lang w:eastAsia="zh-HK"/>
        </w:rPr>
      </w:pPr>
      <w:r>
        <w:rPr>
          <w:rFonts w:ascii="Arial" w:hAnsi="Arial" w:cs="Arial" w:hint="eastAsia"/>
          <w:sz w:val="22"/>
          <w:lang w:eastAsia="zh-HK"/>
        </w:rPr>
        <w:t>E</w:t>
      </w:r>
      <w:r w:rsidR="00BD24B5" w:rsidRPr="00E8194C">
        <w:rPr>
          <w:rFonts w:ascii="Arial" w:hAnsi="Arial" w:cs="Arial"/>
          <w:sz w:val="22"/>
          <w:lang w:eastAsia="zh-HK"/>
        </w:rPr>
        <w:t>xemption</w:t>
      </w:r>
      <w:r w:rsidR="00C461E6">
        <w:rPr>
          <w:rFonts w:ascii="Arial" w:hAnsi="Arial" w:cs="Arial" w:hint="eastAsia"/>
          <w:sz w:val="22"/>
          <w:lang w:eastAsia="zh-HK"/>
        </w:rPr>
        <w:t>,</w:t>
      </w:r>
      <w:r w:rsidR="00BD24B5" w:rsidRPr="00E8194C">
        <w:rPr>
          <w:rFonts w:ascii="Arial" w:hAnsi="Arial" w:cs="Arial"/>
          <w:sz w:val="22"/>
          <w:lang w:eastAsia="zh-HK"/>
        </w:rPr>
        <w:t xml:space="preserve"> advanced standing</w:t>
      </w:r>
      <w:r w:rsidR="00C461E6">
        <w:rPr>
          <w:rFonts w:ascii="Arial" w:hAnsi="Arial" w:cs="Arial" w:hint="eastAsia"/>
          <w:sz w:val="22"/>
          <w:lang w:eastAsia="zh-HK"/>
        </w:rPr>
        <w:t xml:space="preserve"> and credit transfer</w:t>
      </w:r>
      <w:r w:rsidR="00BD24B5" w:rsidRPr="00E8194C">
        <w:rPr>
          <w:rFonts w:ascii="Arial" w:hAnsi="Arial" w:cs="Arial"/>
          <w:sz w:val="22"/>
          <w:lang w:eastAsia="zh-HK"/>
        </w:rPr>
        <w:t xml:space="preserve"> policy</w:t>
      </w:r>
      <w:r w:rsidR="00C461E6">
        <w:rPr>
          <w:rFonts w:ascii="Arial" w:hAnsi="Arial" w:cs="Arial" w:hint="eastAsia"/>
          <w:sz w:val="22"/>
          <w:lang w:eastAsia="zh-HK"/>
        </w:rPr>
        <w:t>.</w:t>
      </w:r>
    </w:p>
    <w:p w:rsidR="0036782F" w:rsidRPr="00C461E6" w:rsidRDefault="00C461E6" w:rsidP="00AF5852">
      <w:pPr>
        <w:pStyle w:val="ListParagraph"/>
        <w:numPr>
          <w:ilvl w:val="0"/>
          <w:numId w:val="4"/>
        </w:numPr>
        <w:spacing w:line="280" w:lineRule="exact"/>
        <w:ind w:leftChars="0" w:left="426" w:hanging="426"/>
        <w:rPr>
          <w:rFonts w:ascii="Arial" w:hAnsi="Arial" w:cs="Arial"/>
          <w:sz w:val="22"/>
          <w:lang w:eastAsia="zh-HK"/>
        </w:rPr>
      </w:pPr>
      <w:r w:rsidRPr="00C461E6">
        <w:rPr>
          <w:rFonts w:ascii="Arial" w:hAnsi="Arial" w:cs="Arial" w:hint="eastAsia"/>
          <w:sz w:val="22"/>
          <w:lang w:eastAsia="zh-HK"/>
        </w:rPr>
        <w:t>R</w:t>
      </w:r>
      <w:r w:rsidR="0036782F" w:rsidRPr="00C461E6">
        <w:rPr>
          <w:rFonts w:ascii="Arial" w:hAnsi="Arial" w:cs="Arial" w:hint="eastAsia"/>
          <w:sz w:val="22"/>
          <w:lang w:eastAsia="zh-HK"/>
        </w:rPr>
        <w:t>ecord</w:t>
      </w:r>
      <w:r w:rsidRPr="00C461E6">
        <w:rPr>
          <w:rFonts w:ascii="Arial" w:hAnsi="Arial" w:cs="Arial" w:hint="eastAsia"/>
          <w:sz w:val="22"/>
          <w:lang w:eastAsia="zh-HK"/>
        </w:rPr>
        <w:t>s</w:t>
      </w:r>
      <w:r w:rsidR="0036782F" w:rsidRPr="00C461E6">
        <w:rPr>
          <w:rFonts w:ascii="Arial" w:hAnsi="Arial" w:cs="Arial" w:hint="eastAsia"/>
          <w:sz w:val="22"/>
          <w:lang w:eastAsia="zh-HK"/>
        </w:rPr>
        <w:t xml:space="preserve"> of the en</w:t>
      </w:r>
      <w:r w:rsidRPr="00C461E6">
        <w:rPr>
          <w:rFonts w:ascii="Arial" w:hAnsi="Arial" w:cs="Arial" w:hint="eastAsia"/>
          <w:sz w:val="22"/>
          <w:lang w:eastAsia="zh-HK"/>
        </w:rPr>
        <w:t>trants</w:t>
      </w:r>
      <w:r>
        <w:rPr>
          <w:rFonts w:ascii="Arial" w:hAnsi="Arial" w:cs="Arial" w:hint="eastAsia"/>
          <w:sz w:val="22"/>
          <w:lang w:eastAsia="zh-HK"/>
        </w:rPr>
        <w:t>'</w:t>
      </w:r>
      <w:r w:rsidR="0036782F" w:rsidRPr="00C461E6">
        <w:rPr>
          <w:rFonts w:ascii="Arial" w:hAnsi="Arial" w:cs="Arial" w:hint="eastAsia"/>
          <w:sz w:val="22"/>
          <w:lang w:eastAsia="zh-HK"/>
        </w:rPr>
        <w:t xml:space="preserve"> qualifications</w:t>
      </w:r>
      <w:r>
        <w:rPr>
          <w:rFonts w:ascii="Arial" w:hAnsi="Arial" w:cs="Arial" w:hint="eastAsia"/>
          <w:sz w:val="22"/>
          <w:lang w:eastAsia="zh-HK"/>
        </w:rPr>
        <w:t xml:space="preserve"> and</w:t>
      </w:r>
      <w:r w:rsidR="0036782F" w:rsidRPr="00C461E6">
        <w:rPr>
          <w:rFonts w:ascii="Arial" w:hAnsi="Arial" w:cs="Arial" w:hint="eastAsia"/>
          <w:sz w:val="22"/>
          <w:lang w:eastAsia="zh-HK"/>
        </w:rPr>
        <w:t xml:space="preserve"> exemptions granted</w:t>
      </w:r>
      <w:r>
        <w:rPr>
          <w:rFonts w:ascii="Arial" w:hAnsi="Arial" w:cs="Arial" w:hint="eastAsia"/>
          <w:sz w:val="22"/>
          <w:lang w:eastAsia="zh-HK"/>
        </w:rPr>
        <w:t>.</w:t>
      </w:r>
    </w:p>
    <w:p w:rsidR="001533CD" w:rsidRPr="00E8194C" w:rsidRDefault="001533CD" w:rsidP="001533CD">
      <w:pPr>
        <w:spacing w:line="280" w:lineRule="exact"/>
        <w:rPr>
          <w:rFonts w:ascii="Arial" w:hAnsi="Arial" w:cs="Arial"/>
          <w:sz w:val="22"/>
          <w:lang w:eastAsia="zh-HK"/>
        </w:rPr>
      </w:pPr>
    </w:p>
    <w:p w:rsidR="005C59D6" w:rsidRPr="00E8194C" w:rsidRDefault="005C59D6" w:rsidP="001533CD">
      <w:pPr>
        <w:spacing w:line="280" w:lineRule="exact"/>
        <w:rPr>
          <w:rFonts w:ascii="Arial" w:hAnsi="Arial" w:cs="Arial"/>
          <w:sz w:val="22"/>
          <w:lang w:eastAsia="zh-HK"/>
        </w:rPr>
      </w:pPr>
    </w:p>
    <w:p w:rsidR="005C59D6" w:rsidRPr="00E8194C" w:rsidRDefault="005C59D6" w:rsidP="001533CD">
      <w:pPr>
        <w:spacing w:line="280" w:lineRule="exact"/>
        <w:rPr>
          <w:rFonts w:ascii="Arial" w:hAnsi="Arial" w:cs="Arial"/>
          <w:b/>
          <w:sz w:val="22"/>
          <w:lang w:eastAsia="zh-HK"/>
        </w:rPr>
      </w:pPr>
      <w:r w:rsidRPr="00E8194C">
        <w:rPr>
          <w:rFonts w:ascii="Arial" w:hAnsi="Arial" w:cs="Arial"/>
          <w:b/>
          <w:sz w:val="22"/>
          <w:lang w:eastAsia="zh-HK"/>
        </w:rPr>
        <w:t>3</w:t>
      </w:r>
      <w:r w:rsidR="007A1D34">
        <w:rPr>
          <w:rFonts w:ascii="Arial" w:hAnsi="Arial" w:cs="Arial" w:hint="eastAsia"/>
          <w:b/>
          <w:sz w:val="22"/>
          <w:lang w:eastAsia="zh-HK"/>
        </w:rPr>
        <w:tab/>
      </w:r>
      <w:r w:rsidRPr="00E8194C">
        <w:rPr>
          <w:rFonts w:ascii="Arial" w:hAnsi="Arial" w:cs="Arial"/>
          <w:b/>
          <w:sz w:val="22"/>
          <w:lang w:eastAsia="zh-HK"/>
        </w:rPr>
        <w:t>Programme structure and curriculum</w:t>
      </w:r>
    </w:p>
    <w:p w:rsidR="005C59D6" w:rsidRDefault="005C59D6" w:rsidP="001533CD">
      <w:pPr>
        <w:spacing w:line="280" w:lineRule="exact"/>
        <w:rPr>
          <w:rFonts w:ascii="Arial" w:hAnsi="Arial" w:cs="Arial"/>
          <w:sz w:val="22"/>
          <w:lang w:eastAsia="zh-HK"/>
        </w:rPr>
      </w:pPr>
    </w:p>
    <w:p w:rsidR="004B1AE9" w:rsidRDefault="000D1B3A" w:rsidP="001533CD">
      <w:pPr>
        <w:spacing w:line="280" w:lineRule="exact"/>
        <w:rPr>
          <w:rFonts w:ascii="Arial" w:hAnsi="Arial" w:cs="Arial"/>
          <w:sz w:val="22"/>
        </w:rPr>
      </w:pPr>
      <w:r w:rsidRPr="00F75308">
        <w:rPr>
          <w:rFonts w:ascii="Arial" w:hAnsi="Arial" w:cs="Arial" w:hint="eastAsia"/>
          <w:sz w:val="22"/>
          <w:lang w:eastAsia="zh-HK"/>
        </w:rPr>
        <w:t xml:space="preserve">The structure and curriculum of the programme should be able to </w:t>
      </w:r>
      <w:r w:rsidRPr="00F75308">
        <w:rPr>
          <w:rFonts w:ascii="Arial" w:hAnsi="Arial" w:cs="Arial"/>
          <w:sz w:val="22"/>
          <w:lang w:eastAsia="zh-HK"/>
        </w:rPr>
        <w:t>provide</w:t>
      </w:r>
      <w:r w:rsidRPr="00F75308">
        <w:rPr>
          <w:rFonts w:ascii="Arial" w:hAnsi="Arial" w:cs="Arial" w:hint="eastAsia"/>
          <w:sz w:val="22"/>
          <w:lang w:eastAsia="zh-HK"/>
        </w:rPr>
        <w:t xml:space="preserve"> a total education experience which can be demonstrated by its coherence and progression, the level of the intellectual challenges to students, the recency of its curriculum, its relevance to good professional practice, and coverage of the required competency areas.  Essentially, apart from technical accounting subjects, the curriculum should also have subjects on broad base</w:t>
      </w:r>
      <w:r w:rsidR="0060420E" w:rsidRPr="00F75308">
        <w:rPr>
          <w:rFonts w:ascii="Arial" w:hAnsi="Arial" w:cs="Arial" w:hint="eastAsia"/>
          <w:sz w:val="22"/>
          <w:lang w:eastAsia="zh-HK"/>
        </w:rPr>
        <w:t>d</w:t>
      </w:r>
      <w:r w:rsidRPr="00F75308">
        <w:rPr>
          <w:rFonts w:ascii="Arial" w:hAnsi="Arial" w:cs="Arial" w:hint="eastAsia"/>
          <w:sz w:val="22"/>
          <w:lang w:eastAsia="zh-HK"/>
        </w:rPr>
        <w:t xml:space="preserve"> </w:t>
      </w:r>
      <w:r w:rsidRPr="00F75308">
        <w:rPr>
          <w:rFonts w:ascii="Arial" w:hAnsi="Arial" w:cs="Arial" w:hint="eastAsia"/>
          <w:sz w:val="22"/>
          <w:lang w:eastAsia="zh-HK"/>
        </w:rPr>
        <w:lastRenderedPageBreak/>
        <w:t>foundation of general education</w:t>
      </w:r>
      <w:r w:rsidR="0060420E" w:rsidRPr="00F75308">
        <w:rPr>
          <w:rFonts w:ascii="Arial" w:hAnsi="Arial" w:cs="Arial" w:hint="eastAsia"/>
          <w:sz w:val="22"/>
          <w:lang w:eastAsia="zh-HK"/>
        </w:rPr>
        <w:t xml:space="preserve">, business and economic environment, intrapersonal and interpersonal qualities. </w:t>
      </w:r>
      <w:r w:rsidR="004B1AE9" w:rsidRPr="00F75308">
        <w:rPr>
          <w:rFonts w:ascii="Arial" w:hAnsi="Arial" w:cs="Arial" w:hint="eastAsia"/>
          <w:sz w:val="22"/>
          <w:lang w:eastAsia="zh-HK"/>
        </w:rPr>
        <w:t>Aspects of consideration</w:t>
      </w:r>
      <w:r w:rsidR="004B1AE9">
        <w:rPr>
          <w:rFonts w:ascii="Arial" w:hAnsi="Arial" w:cs="Arial" w:hint="eastAsia"/>
          <w:sz w:val="22"/>
        </w:rPr>
        <w:t xml:space="preserve"> may</w:t>
      </w:r>
      <w:r w:rsidR="004B1AE9" w:rsidRPr="00F75308">
        <w:rPr>
          <w:rFonts w:ascii="Arial" w:hAnsi="Arial" w:cs="Arial" w:hint="eastAsia"/>
          <w:sz w:val="22"/>
          <w:lang w:eastAsia="zh-HK"/>
        </w:rPr>
        <w:t xml:space="preserve"> include</w:t>
      </w:r>
      <w:r w:rsidR="004B1AE9">
        <w:rPr>
          <w:rFonts w:ascii="Arial" w:hAnsi="Arial" w:cs="Arial" w:hint="eastAsia"/>
          <w:sz w:val="22"/>
        </w:rPr>
        <w:t xml:space="preserve"> but not limited to the following</w:t>
      </w:r>
      <w:r w:rsidR="004B1AE9" w:rsidRPr="00F75308">
        <w:rPr>
          <w:rFonts w:ascii="Arial" w:hAnsi="Arial" w:cs="Arial" w:hint="eastAsia"/>
          <w:sz w:val="22"/>
          <w:lang w:eastAsia="zh-HK"/>
        </w:rPr>
        <w:t>:</w:t>
      </w:r>
    </w:p>
    <w:p w:rsidR="000D1B3A" w:rsidRPr="000D1B3A" w:rsidRDefault="004B1AE9" w:rsidP="001533CD">
      <w:pPr>
        <w:spacing w:line="280" w:lineRule="exact"/>
        <w:rPr>
          <w:rFonts w:ascii="Arial" w:hAnsi="Arial" w:cs="Arial"/>
          <w:sz w:val="20"/>
          <w:szCs w:val="20"/>
          <w:lang w:eastAsia="zh-HK"/>
        </w:rPr>
      </w:pPr>
      <w:r w:rsidRPr="000D1B3A">
        <w:rPr>
          <w:rFonts w:ascii="Arial" w:hAnsi="Arial" w:cs="Arial"/>
          <w:sz w:val="20"/>
          <w:szCs w:val="20"/>
          <w:lang w:eastAsia="zh-HK"/>
        </w:rPr>
        <w:t xml:space="preserve"> </w:t>
      </w:r>
    </w:p>
    <w:p w:rsidR="0036782F" w:rsidRDefault="00FB2CEC"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C</w:t>
      </w:r>
      <w:r w:rsidR="0036782F">
        <w:rPr>
          <w:rFonts w:ascii="Arial" w:hAnsi="Arial" w:cs="Arial" w:hint="eastAsia"/>
          <w:color w:val="000000" w:themeColor="text1"/>
          <w:sz w:val="22"/>
          <w:lang w:eastAsia="zh-HK"/>
        </w:rPr>
        <w:t>urriculum</w:t>
      </w:r>
      <w:r w:rsidR="008D6B38">
        <w:rPr>
          <w:rFonts w:ascii="Arial" w:hAnsi="Arial" w:cs="Arial" w:hint="eastAsia"/>
          <w:color w:val="000000" w:themeColor="text1"/>
          <w:sz w:val="22"/>
          <w:lang w:eastAsia="zh-HK"/>
        </w:rPr>
        <w:t xml:space="preserve"> and syllabus</w:t>
      </w:r>
      <w:r>
        <w:rPr>
          <w:rFonts w:ascii="Arial" w:hAnsi="Arial" w:cs="Arial" w:hint="eastAsia"/>
          <w:color w:val="000000" w:themeColor="text1"/>
          <w:sz w:val="22"/>
          <w:lang w:eastAsia="zh-HK"/>
        </w:rPr>
        <w:t xml:space="preserve"> coverage</w:t>
      </w:r>
      <w:r w:rsidR="0036782F">
        <w:rPr>
          <w:rFonts w:ascii="Arial" w:hAnsi="Arial" w:cs="Arial" w:hint="eastAsia"/>
          <w:color w:val="000000" w:themeColor="text1"/>
          <w:sz w:val="22"/>
          <w:lang w:eastAsia="zh-HK"/>
        </w:rPr>
        <w:t xml:space="preserve"> </w:t>
      </w:r>
      <w:r>
        <w:rPr>
          <w:rFonts w:ascii="Arial" w:hAnsi="Arial" w:cs="Arial"/>
          <w:color w:val="000000" w:themeColor="text1"/>
          <w:sz w:val="22"/>
          <w:lang w:eastAsia="zh-HK"/>
        </w:rPr>
        <w:t>vis-à-vis</w:t>
      </w:r>
      <w:r>
        <w:rPr>
          <w:rFonts w:ascii="Arial" w:hAnsi="Arial" w:cs="Arial" w:hint="eastAsia"/>
          <w:color w:val="000000" w:themeColor="text1"/>
          <w:sz w:val="22"/>
          <w:lang w:eastAsia="zh-HK"/>
        </w:rPr>
        <w:t xml:space="preserve"> the</w:t>
      </w:r>
      <w:r w:rsidR="008D589B">
        <w:rPr>
          <w:rFonts w:ascii="Arial" w:hAnsi="Arial" w:cs="Arial" w:hint="eastAsia"/>
          <w:color w:val="000000" w:themeColor="text1"/>
          <w:sz w:val="22"/>
          <w:lang w:eastAsia="zh-HK"/>
        </w:rPr>
        <w:t xml:space="preserve"> </w:t>
      </w:r>
      <w:r w:rsidR="008A5666">
        <w:rPr>
          <w:rFonts w:ascii="Arial" w:hAnsi="Arial" w:cs="Arial" w:hint="eastAsia"/>
          <w:color w:val="000000" w:themeColor="text1"/>
          <w:sz w:val="22"/>
          <w:lang w:eastAsia="zh-HK"/>
        </w:rPr>
        <w:t xml:space="preserve">fundamental </w:t>
      </w:r>
      <w:r w:rsidR="008D589B">
        <w:rPr>
          <w:rFonts w:ascii="Arial" w:hAnsi="Arial" w:cs="Arial" w:hint="eastAsia"/>
          <w:color w:val="000000" w:themeColor="text1"/>
          <w:sz w:val="22"/>
          <w:lang w:eastAsia="zh-HK"/>
        </w:rPr>
        <w:t>business knowledge</w:t>
      </w:r>
      <w:r w:rsidR="008A5666">
        <w:rPr>
          <w:rFonts w:ascii="Arial" w:hAnsi="Arial" w:cs="Arial" w:hint="eastAsia"/>
          <w:color w:val="000000" w:themeColor="text1"/>
          <w:sz w:val="22"/>
          <w:lang w:eastAsia="zh-HK"/>
        </w:rPr>
        <w:t xml:space="preserve"> areas</w:t>
      </w:r>
      <w:r w:rsidR="008D589B">
        <w:rPr>
          <w:rFonts w:ascii="Arial" w:hAnsi="Arial" w:cs="Arial" w:hint="eastAsia"/>
          <w:color w:val="000000" w:themeColor="text1"/>
          <w:sz w:val="22"/>
          <w:lang w:eastAsia="zh-HK"/>
        </w:rPr>
        <w:t xml:space="preserve"> and accounting sub-disciplines </w:t>
      </w:r>
      <w:r w:rsidR="008D6B38">
        <w:rPr>
          <w:rFonts w:ascii="Arial" w:hAnsi="Arial" w:cs="Arial" w:hint="eastAsia"/>
          <w:color w:val="000000" w:themeColor="text1"/>
          <w:sz w:val="22"/>
          <w:lang w:eastAsia="zh-HK"/>
        </w:rPr>
        <w:t>embraced in the</w:t>
      </w:r>
      <w:r w:rsidR="008D589B">
        <w:rPr>
          <w:rFonts w:ascii="Arial" w:hAnsi="Arial" w:cs="Arial" w:hint="eastAsia"/>
          <w:color w:val="000000" w:themeColor="text1"/>
          <w:sz w:val="22"/>
          <w:lang w:eastAsia="zh-HK"/>
        </w:rPr>
        <w:t xml:space="preserve"> Associate Level Modules of the new QP</w:t>
      </w:r>
      <w:r>
        <w:rPr>
          <w:rFonts w:ascii="Arial" w:hAnsi="Arial" w:cs="Arial" w:hint="eastAsia"/>
          <w:color w:val="000000" w:themeColor="text1"/>
          <w:sz w:val="22"/>
          <w:lang w:eastAsia="zh-HK"/>
        </w:rPr>
        <w:t>.</w:t>
      </w:r>
    </w:p>
    <w:p w:rsidR="008D589B" w:rsidRDefault="00FB2CEC"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Learning activities employed to develop the g</w:t>
      </w:r>
      <w:r w:rsidR="00170484">
        <w:rPr>
          <w:rFonts w:ascii="Arial" w:hAnsi="Arial" w:cs="Arial" w:hint="eastAsia"/>
          <w:color w:val="000000" w:themeColor="text1"/>
          <w:sz w:val="22"/>
          <w:lang w:eastAsia="zh-HK"/>
        </w:rPr>
        <w:t xml:space="preserve">eneric skills and enabling competences required of </w:t>
      </w:r>
      <w:r w:rsidR="0001143E">
        <w:rPr>
          <w:rFonts w:ascii="Arial" w:hAnsi="Arial" w:cs="Arial"/>
          <w:color w:val="000000" w:themeColor="text1"/>
          <w:sz w:val="22"/>
          <w:lang w:eastAsia="zh-HK"/>
        </w:rPr>
        <w:t>a</w:t>
      </w:r>
      <w:r w:rsidR="00170484">
        <w:rPr>
          <w:rFonts w:ascii="Arial" w:hAnsi="Arial" w:cs="Arial" w:hint="eastAsia"/>
          <w:color w:val="000000" w:themeColor="text1"/>
          <w:sz w:val="22"/>
          <w:lang w:eastAsia="zh-HK"/>
        </w:rPr>
        <w:t xml:space="preserve"> QP graduate</w:t>
      </w:r>
      <w:r>
        <w:rPr>
          <w:rFonts w:ascii="Arial" w:hAnsi="Arial" w:cs="Arial" w:hint="eastAsia"/>
          <w:color w:val="000000" w:themeColor="text1"/>
          <w:sz w:val="22"/>
          <w:lang w:eastAsia="zh-HK"/>
        </w:rPr>
        <w:t>.</w:t>
      </w:r>
    </w:p>
    <w:p w:rsidR="00014B26" w:rsidRDefault="00FB2CEC"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C</w:t>
      </w:r>
      <w:r w:rsidR="00170484">
        <w:rPr>
          <w:rFonts w:ascii="Arial" w:hAnsi="Arial" w:cs="Arial" w:hint="eastAsia"/>
          <w:color w:val="000000" w:themeColor="text1"/>
          <w:sz w:val="22"/>
          <w:lang w:eastAsia="zh-HK"/>
        </w:rPr>
        <w:t>lass hours prescribed f</w:t>
      </w:r>
      <w:r w:rsidR="00014B26" w:rsidRPr="008F5F1D">
        <w:rPr>
          <w:rFonts w:ascii="Arial" w:hAnsi="Arial" w:cs="Arial"/>
          <w:color w:val="000000" w:themeColor="text1"/>
          <w:sz w:val="22"/>
          <w:lang w:eastAsia="zh-HK"/>
        </w:rPr>
        <w:t xml:space="preserve">or </w:t>
      </w:r>
      <w:r w:rsidR="00590836">
        <w:rPr>
          <w:rFonts w:ascii="Arial" w:hAnsi="Arial" w:cs="Arial" w:hint="eastAsia"/>
          <w:color w:val="000000" w:themeColor="text1"/>
          <w:sz w:val="22"/>
          <w:lang w:eastAsia="zh-HK"/>
        </w:rPr>
        <w:t xml:space="preserve">different </w:t>
      </w:r>
      <w:r w:rsidR="00014B26" w:rsidRPr="008F5F1D">
        <w:rPr>
          <w:rFonts w:ascii="Arial" w:hAnsi="Arial" w:cs="Arial"/>
          <w:color w:val="000000" w:themeColor="text1"/>
          <w:sz w:val="22"/>
          <w:lang w:eastAsia="zh-HK"/>
        </w:rPr>
        <w:t>subject</w:t>
      </w:r>
      <w:r w:rsidR="00170484">
        <w:rPr>
          <w:rFonts w:ascii="Arial" w:hAnsi="Arial" w:cs="Arial" w:hint="eastAsia"/>
          <w:color w:val="000000" w:themeColor="text1"/>
          <w:sz w:val="22"/>
          <w:lang w:eastAsia="zh-HK"/>
        </w:rPr>
        <w:t xml:space="preserve">s of the Programme and </w:t>
      </w:r>
      <w:r w:rsidR="00590836">
        <w:rPr>
          <w:rFonts w:ascii="Arial" w:hAnsi="Arial" w:cs="Arial" w:hint="eastAsia"/>
          <w:color w:val="000000" w:themeColor="text1"/>
          <w:sz w:val="22"/>
          <w:lang w:eastAsia="zh-HK"/>
        </w:rPr>
        <w:t xml:space="preserve">the </w:t>
      </w:r>
      <w:r w:rsidR="00170484">
        <w:rPr>
          <w:rFonts w:ascii="Arial" w:hAnsi="Arial" w:cs="Arial" w:hint="eastAsia"/>
          <w:color w:val="000000" w:themeColor="text1"/>
          <w:sz w:val="22"/>
          <w:lang w:eastAsia="zh-HK"/>
        </w:rPr>
        <w:t xml:space="preserve">proportion </w:t>
      </w:r>
      <w:r w:rsidR="00590836">
        <w:rPr>
          <w:rFonts w:ascii="Arial" w:hAnsi="Arial" w:cs="Arial" w:hint="eastAsia"/>
          <w:color w:val="000000" w:themeColor="text1"/>
          <w:sz w:val="22"/>
          <w:lang w:eastAsia="zh-HK"/>
        </w:rPr>
        <w:t xml:space="preserve">allocated </w:t>
      </w:r>
      <w:r w:rsidR="00170484">
        <w:rPr>
          <w:rFonts w:ascii="Arial" w:hAnsi="Arial" w:cs="Arial" w:hint="eastAsia"/>
          <w:color w:val="000000" w:themeColor="text1"/>
          <w:sz w:val="22"/>
          <w:lang w:eastAsia="zh-HK"/>
        </w:rPr>
        <w:t xml:space="preserve">for </w:t>
      </w:r>
      <w:r w:rsidR="00590836">
        <w:rPr>
          <w:rFonts w:ascii="Arial" w:hAnsi="Arial" w:cs="Arial" w:hint="eastAsia"/>
          <w:color w:val="000000" w:themeColor="text1"/>
          <w:sz w:val="22"/>
          <w:lang w:eastAsia="zh-HK"/>
        </w:rPr>
        <w:t xml:space="preserve">the </w:t>
      </w:r>
      <w:r w:rsidR="00170484">
        <w:rPr>
          <w:rFonts w:ascii="Arial" w:hAnsi="Arial" w:cs="Arial" w:hint="eastAsia"/>
          <w:color w:val="000000" w:themeColor="text1"/>
          <w:sz w:val="22"/>
          <w:lang w:eastAsia="zh-HK"/>
        </w:rPr>
        <w:t>various learning activities (e.g. lecture class, seminars an</w:t>
      </w:r>
      <w:r w:rsidR="00590836">
        <w:rPr>
          <w:rFonts w:ascii="Arial" w:hAnsi="Arial" w:cs="Arial" w:hint="eastAsia"/>
          <w:color w:val="000000" w:themeColor="text1"/>
          <w:sz w:val="22"/>
          <w:lang w:eastAsia="zh-HK"/>
        </w:rPr>
        <w:t>d tutorials).</w:t>
      </w:r>
    </w:p>
    <w:p w:rsidR="00170484" w:rsidRDefault="00FB2CEC"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Coverage of the</w:t>
      </w:r>
      <w:r w:rsidR="00243D16">
        <w:rPr>
          <w:rFonts w:ascii="Arial" w:hAnsi="Arial" w:cs="Arial" w:hint="eastAsia"/>
          <w:color w:val="000000" w:themeColor="text1"/>
          <w:sz w:val="22"/>
          <w:lang w:eastAsia="zh-HK"/>
        </w:rPr>
        <w:t xml:space="preserve"> syllabuses and </w:t>
      </w:r>
      <w:r w:rsidR="00243D16">
        <w:rPr>
          <w:rFonts w:ascii="Arial" w:hAnsi="Arial" w:cs="Arial"/>
          <w:color w:val="000000" w:themeColor="text1"/>
          <w:sz w:val="22"/>
          <w:lang w:eastAsia="zh-HK"/>
        </w:rPr>
        <w:t>learning</w:t>
      </w:r>
      <w:r w:rsidR="00243D16">
        <w:rPr>
          <w:rFonts w:ascii="Arial" w:hAnsi="Arial" w:cs="Arial" w:hint="eastAsia"/>
          <w:color w:val="000000" w:themeColor="text1"/>
          <w:sz w:val="22"/>
          <w:lang w:eastAsia="zh-HK"/>
        </w:rPr>
        <w:t xml:space="preserve"> outcomes of </w:t>
      </w:r>
      <w:r w:rsidR="009313F1">
        <w:rPr>
          <w:rFonts w:ascii="Arial" w:hAnsi="Arial" w:cs="Arial" w:hint="eastAsia"/>
          <w:color w:val="000000" w:themeColor="text1"/>
          <w:sz w:val="22"/>
          <w:lang w:eastAsia="zh-HK"/>
        </w:rPr>
        <w:t xml:space="preserve">QP's </w:t>
      </w:r>
      <w:r w:rsidR="00243D16">
        <w:rPr>
          <w:rFonts w:ascii="Arial" w:hAnsi="Arial" w:cs="Arial" w:hint="eastAsia"/>
          <w:color w:val="000000" w:themeColor="text1"/>
          <w:sz w:val="22"/>
          <w:lang w:eastAsia="zh-HK"/>
        </w:rPr>
        <w:t xml:space="preserve">Associate Modules </w:t>
      </w:r>
      <w:r>
        <w:rPr>
          <w:rFonts w:ascii="Arial" w:hAnsi="Arial" w:cs="Arial" w:hint="eastAsia"/>
          <w:color w:val="000000" w:themeColor="text1"/>
          <w:sz w:val="22"/>
          <w:lang w:eastAsia="zh-HK"/>
        </w:rPr>
        <w:t>by</w:t>
      </w:r>
      <w:r w:rsidR="00243D16">
        <w:rPr>
          <w:rFonts w:ascii="Arial" w:hAnsi="Arial" w:cs="Arial" w:hint="eastAsia"/>
          <w:color w:val="000000" w:themeColor="text1"/>
          <w:sz w:val="22"/>
          <w:lang w:eastAsia="zh-HK"/>
        </w:rPr>
        <w:t xml:space="preserve"> the formal assessment (examination and coursework) of the Programme</w:t>
      </w:r>
      <w:r>
        <w:rPr>
          <w:rFonts w:ascii="Arial" w:hAnsi="Arial" w:cs="Arial" w:hint="eastAsia"/>
          <w:color w:val="000000" w:themeColor="text1"/>
          <w:sz w:val="22"/>
          <w:lang w:eastAsia="zh-HK"/>
        </w:rPr>
        <w:t>.</w:t>
      </w:r>
    </w:p>
    <w:p w:rsidR="00170484" w:rsidRPr="008F5F1D" w:rsidRDefault="00FB2CEC"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Recency and relevancy of</w:t>
      </w:r>
      <w:r w:rsidR="00243D16">
        <w:rPr>
          <w:rFonts w:ascii="Arial" w:hAnsi="Arial" w:cs="Arial" w:hint="eastAsia"/>
          <w:color w:val="000000" w:themeColor="text1"/>
          <w:sz w:val="22"/>
          <w:lang w:eastAsia="zh-HK"/>
        </w:rPr>
        <w:t xml:space="preserve"> study materials (incl. textbooks</w:t>
      </w:r>
      <w:r w:rsidR="00590836">
        <w:rPr>
          <w:rFonts w:ascii="Arial" w:hAnsi="Arial" w:cs="Arial" w:hint="eastAsia"/>
          <w:color w:val="000000" w:themeColor="text1"/>
          <w:sz w:val="22"/>
          <w:lang w:eastAsia="zh-HK"/>
        </w:rPr>
        <w:t>,</w:t>
      </w:r>
      <w:r w:rsidR="00243D16">
        <w:rPr>
          <w:rFonts w:ascii="Arial" w:hAnsi="Arial" w:cs="Arial" w:hint="eastAsia"/>
          <w:color w:val="000000" w:themeColor="text1"/>
          <w:sz w:val="22"/>
          <w:lang w:eastAsia="zh-HK"/>
        </w:rPr>
        <w:t xml:space="preserve"> other reference materials</w:t>
      </w:r>
      <w:r w:rsidR="00590836">
        <w:rPr>
          <w:rFonts w:ascii="Arial" w:hAnsi="Arial" w:cs="Arial" w:hint="eastAsia"/>
          <w:color w:val="000000" w:themeColor="text1"/>
          <w:sz w:val="22"/>
          <w:lang w:eastAsia="zh-HK"/>
        </w:rPr>
        <w:t xml:space="preserve"> and</w:t>
      </w:r>
      <w:r w:rsidR="009313F1">
        <w:rPr>
          <w:rFonts w:ascii="Arial" w:hAnsi="Arial" w:cs="Arial" w:hint="eastAsia"/>
          <w:color w:val="000000" w:themeColor="text1"/>
          <w:sz w:val="22"/>
          <w:lang w:eastAsia="zh-HK"/>
        </w:rPr>
        <w:t xml:space="preserve"> </w:t>
      </w:r>
      <w:r w:rsidR="009313F1">
        <w:rPr>
          <w:rFonts w:ascii="Arial" w:hAnsi="Arial" w:cs="Arial"/>
          <w:color w:val="000000" w:themeColor="text1"/>
          <w:sz w:val="22"/>
          <w:lang w:eastAsia="zh-HK"/>
        </w:rPr>
        <w:t>o</w:t>
      </w:r>
      <w:r w:rsidR="009313F1">
        <w:rPr>
          <w:rFonts w:ascii="Arial" w:hAnsi="Arial" w:cs="Arial" w:hint="eastAsia"/>
          <w:color w:val="000000" w:themeColor="text1"/>
          <w:sz w:val="22"/>
          <w:lang w:eastAsia="zh-HK"/>
        </w:rPr>
        <w:t>nline learning resources</w:t>
      </w:r>
      <w:r w:rsidR="00243D16">
        <w:rPr>
          <w:rFonts w:ascii="Arial" w:hAnsi="Arial" w:cs="Arial" w:hint="eastAsia"/>
          <w:color w:val="000000" w:themeColor="text1"/>
          <w:sz w:val="22"/>
          <w:lang w:eastAsia="zh-HK"/>
        </w:rPr>
        <w:t>)</w:t>
      </w:r>
      <w:r w:rsidR="00590836">
        <w:rPr>
          <w:rFonts w:ascii="Arial" w:hAnsi="Arial" w:cs="Arial" w:hint="eastAsia"/>
          <w:color w:val="000000" w:themeColor="text1"/>
          <w:sz w:val="22"/>
          <w:lang w:eastAsia="zh-HK"/>
        </w:rPr>
        <w:t>.</w:t>
      </w:r>
      <w:r w:rsidR="00243D16">
        <w:rPr>
          <w:rFonts w:ascii="Arial" w:hAnsi="Arial" w:cs="Arial" w:hint="eastAsia"/>
          <w:color w:val="000000" w:themeColor="text1"/>
          <w:sz w:val="22"/>
          <w:lang w:eastAsia="zh-HK"/>
        </w:rPr>
        <w:t xml:space="preserve"> </w:t>
      </w:r>
    </w:p>
    <w:p w:rsidR="00593245" w:rsidRPr="00590836" w:rsidRDefault="00593245" w:rsidP="001533CD">
      <w:pPr>
        <w:spacing w:line="280" w:lineRule="exact"/>
        <w:rPr>
          <w:rFonts w:ascii="Arial" w:hAnsi="Arial" w:cs="Arial"/>
          <w:color w:val="000000" w:themeColor="text1"/>
          <w:sz w:val="22"/>
          <w:lang w:eastAsia="zh-HK"/>
        </w:rPr>
      </w:pPr>
    </w:p>
    <w:p w:rsidR="00E8194C" w:rsidRDefault="00E8194C" w:rsidP="001533CD">
      <w:pPr>
        <w:spacing w:line="280" w:lineRule="exact"/>
        <w:rPr>
          <w:rFonts w:ascii="Arial" w:hAnsi="Arial" w:cs="Arial"/>
          <w:b/>
          <w:sz w:val="22"/>
          <w:lang w:eastAsia="zh-HK"/>
        </w:rPr>
      </w:pPr>
    </w:p>
    <w:p w:rsidR="00E8194C" w:rsidRDefault="007A1D34" w:rsidP="00E8194C">
      <w:pPr>
        <w:spacing w:line="280" w:lineRule="exact"/>
        <w:ind w:rightChars="50" w:right="120"/>
        <w:rPr>
          <w:rFonts w:ascii="Arial" w:hAnsi="Arial" w:cs="Arial"/>
          <w:b/>
          <w:color w:val="000000" w:themeColor="text1"/>
          <w:sz w:val="22"/>
          <w:lang w:eastAsia="zh-HK"/>
        </w:rPr>
      </w:pPr>
      <w:r>
        <w:rPr>
          <w:rFonts w:ascii="Arial" w:hAnsi="Arial" w:cs="Arial" w:hint="eastAsia"/>
          <w:b/>
          <w:sz w:val="22"/>
          <w:lang w:eastAsia="zh-HK"/>
        </w:rPr>
        <w:t>4</w:t>
      </w:r>
      <w:r>
        <w:rPr>
          <w:rFonts w:ascii="Arial" w:hAnsi="Arial" w:cs="Arial"/>
          <w:b/>
          <w:sz w:val="22"/>
          <w:lang w:eastAsia="zh-HK"/>
        </w:rPr>
        <w:tab/>
      </w:r>
      <w:r w:rsidR="00E8194C" w:rsidRPr="00E8194C">
        <w:rPr>
          <w:rFonts w:ascii="Arial" w:hAnsi="Arial" w:cs="Arial"/>
          <w:b/>
          <w:color w:val="000000" w:themeColor="text1"/>
          <w:sz w:val="22"/>
          <w:lang w:eastAsia="zh-HK"/>
        </w:rPr>
        <w:t>Learning, teaching approaches and assessment</w:t>
      </w:r>
    </w:p>
    <w:p w:rsidR="000975C6" w:rsidRPr="00F75308" w:rsidRDefault="000975C6" w:rsidP="00E8194C">
      <w:pPr>
        <w:spacing w:line="280" w:lineRule="exact"/>
        <w:ind w:rightChars="50" w:right="120"/>
        <w:rPr>
          <w:rFonts w:ascii="Arial" w:hAnsi="Arial" w:cs="Arial"/>
          <w:b/>
          <w:color w:val="000000" w:themeColor="text1"/>
          <w:sz w:val="22"/>
          <w:lang w:eastAsia="zh-HK"/>
        </w:rPr>
      </w:pPr>
    </w:p>
    <w:p w:rsidR="0060420E" w:rsidRPr="00F75308" w:rsidRDefault="0060420E" w:rsidP="00E8194C">
      <w:pPr>
        <w:spacing w:line="280" w:lineRule="exact"/>
        <w:ind w:rightChars="50" w:right="120"/>
        <w:rPr>
          <w:rFonts w:ascii="Arial" w:hAnsi="Arial" w:cs="Arial"/>
          <w:color w:val="000000" w:themeColor="text1"/>
          <w:sz w:val="22"/>
          <w:lang w:eastAsia="zh-HK"/>
        </w:rPr>
      </w:pPr>
      <w:r w:rsidRPr="00F75308">
        <w:rPr>
          <w:rFonts w:ascii="Arial" w:hAnsi="Arial" w:cs="Arial"/>
          <w:color w:val="000000" w:themeColor="text1"/>
          <w:sz w:val="22"/>
          <w:lang w:eastAsia="zh-HK"/>
        </w:rPr>
        <w:t>T</w:t>
      </w:r>
      <w:r w:rsidRPr="00F75308">
        <w:rPr>
          <w:rFonts w:ascii="Arial" w:hAnsi="Arial" w:cs="Arial" w:hint="eastAsia"/>
          <w:color w:val="000000" w:themeColor="text1"/>
          <w:sz w:val="22"/>
          <w:lang w:eastAsia="zh-HK"/>
        </w:rPr>
        <w:t xml:space="preserve">he effectiveness of the learning process, the quality of teaching and the performance of students would be considered.  Emphases are placed on the </w:t>
      </w:r>
      <w:r w:rsidRPr="00F75308">
        <w:rPr>
          <w:rFonts w:ascii="Arial" w:hAnsi="Arial" w:cs="Arial"/>
          <w:color w:val="000000" w:themeColor="text1"/>
          <w:sz w:val="22"/>
          <w:lang w:eastAsia="zh-HK"/>
        </w:rPr>
        <w:t>development</w:t>
      </w:r>
      <w:r w:rsidRPr="00F75308">
        <w:rPr>
          <w:rFonts w:ascii="Arial" w:hAnsi="Arial" w:cs="Arial" w:hint="eastAsia"/>
          <w:color w:val="000000" w:themeColor="text1"/>
          <w:sz w:val="22"/>
          <w:lang w:eastAsia="zh-HK"/>
        </w:rPr>
        <w:t xml:space="preserve"> of critical thinking, analytical reasoning, problem-solving skills, creativity and research techniques which support the </w:t>
      </w:r>
      <w:r w:rsidR="00CC1EB4" w:rsidRPr="00F75308">
        <w:rPr>
          <w:rFonts w:ascii="Arial" w:hAnsi="Arial" w:cs="Arial" w:hint="eastAsia"/>
          <w:color w:val="000000" w:themeColor="text1"/>
          <w:sz w:val="22"/>
          <w:lang w:eastAsia="zh-HK"/>
        </w:rPr>
        <w:t xml:space="preserve">ability for lifetime self-learning.  Interpersonal skills, leadership, ethical values, ability of working effectively in groups and both oral and written communication skills are also regarded as essential features.  Appropriate assessment methods are of importance to the assessment of different outcomes of the educational process. </w:t>
      </w:r>
      <w:r w:rsidR="00F75308">
        <w:rPr>
          <w:rFonts w:ascii="Arial" w:hAnsi="Arial" w:cs="Arial" w:hint="eastAsia"/>
          <w:color w:val="000000" w:themeColor="text1"/>
          <w:sz w:val="22"/>
          <w:lang w:eastAsia="zh-HK"/>
        </w:rPr>
        <w:t xml:space="preserve"> </w:t>
      </w:r>
      <w:r w:rsidR="004B1AE9" w:rsidRPr="00F75308">
        <w:rPr>
          <w:rFonts w:ascii="Arial" w:hAnsi="Arial" w:cs="Arial" w:hint="eastAsia"/>
          <w:sz w:val="22"/>
          <w:lang w:eastAsia="zh-HK"/>
        </w:rPr>
        <w:t>Aspects of consideration</w:t>
      </w:r>
      <w:r w:rsidR="004B1AE9">
        <w:rPr>
          <w:rFonts w:ascii="Arial" w:hAnsi="Arial" w:cs="Arial" w:hint="eastAsia"/>
          <w:sz w:val="22"/>
        </w:rPr>
        <w:t xml:space="preserve"> may</w:t>
      </w:r>
      <w:r w:rsidR="004B1AE9" w:rsidRPr="00F75308">
        <w:rPr>
          <w:rFonts w:ascii="Arial" w:hAnsi="Arial" w:cs="Arial" w:hint="eastAsia"/>
          <w:sz w:val="22"/>
          <w:lang w:eastAsia="zh-HK"/>
        </w:rPr>
        <w:t xml:space="preserve"> include</w:t>
      </w:r>
      <w:r w:rsidR="004B1AE9">
        <w:rPr>
          <w:rFonts w:ascii="Arial" w:hAnsi="Arial" w:cs="Arial" w:hint="eastAsia"/>
          <w:sz w:val="22"/>
        </w:rPr>
        <w:t xml:space="preserve"> but not limited to the following</w:t>
      </w:r>
      <w:r w:rsidR="004B1AE9" w:rsidRPr="00F75308">
        <w:rPr>
          <w:rFonts w:ascii="Arial" w:hAnsi="Arial" w:cs="Arial" w:hint="eastAsia"/>
          <w:sz w:val="22"/>
          <w:lang w:eastAsia="zh-HK"/>
        </w:rPr>
        <w:t>:</w:t>
      </w:r>
    </w:p>
    <w:p w:rsidR="0060420E" w:rsidRPr="0060420E" w:rsidRDefault="0060420E" w:rsidP="00E8194C">
      <w:pPr>
        <w:spacing w:line="280" w:lineRule="exact"/>
        <w:ind w:rightChars="50" w:right="120"/>
        <w:rPr>
          <w:rFonts w:ascii="Arial" w:hAnsi="Arial" w:cs="Arial"/>
          <w:color w:val="000000" w:themeColor="text1"/>
          <w:sz w:val="20"/>
          <w:szCs w:val="20"/>
          <w:lang w:eastAsia="zh-HK"/>
        </w:rPr>
      </w:pPr>
    </w:p>
    <w:p w:rsidR="000975C6" w:rsidRDefault="00590836"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A</w:t>
      </w:r>
      <w:r w:rsidR="000975C6">
        <w:rPr>
          <w:rFonts w:ascii="Arial" w:hAnsi="Arial" w:cs="Arial" w:hint="eastAsia"/>
          <w:color w:val="000000" w:themeColor="text1"/>
          <w:sz w:val="22"/>
          <w:lang w:eastAsia="zh-HK"/>
        </w:rPr>
        <w:t>dequa</w:t>
      </w:r>
      <w:r>
        <w:rPr>
          <w:rFonts w:ascii="Arial" w:hAnsi="Arial" w:cs="Arial" w:hint="eastAsia"/>
          <w:color w:val="000000" w:themeColor="text1"/>
          <w:sz w:val="22"/>
          <w:lang w:eastAsia="zh-HK"/>
        </w:rPr>
        <w:t>cy</w:t>
      </w:r>
      <w:r w:rsidR="000975C6">
        <w:rPr>
          <w:rFonts w:ascii="Arial" w:hAnsi="Arial" w:cs="Arial" w:hint="eastAsia"/>
          <w:color w:val="000000" w:themeColor="text1"/>
          <w:sz w:val="22"/>
          <w:lang w:eastAsia="zh-HK"/>
        </w:rPr>
        <w:t xml:space="preserve"> and </w:t>
      </w:r>
      <w:r>
        <w:rPr>
          <w:rFonts w:ascii="Arial" w:hAnsi="Arial" w:cs="Arial" w:hint="eastAsia"/>
          <w:color w:val="000000" w:themeColor="text1"/>
          <w:sz w:val="22"/>
          <w:lang w:eastAsia="zh-HK"/>
        </w:rPr>
        <w:t>suitability of</w:t>
      </w:r>
      <w:r w:rsidR="000975C6">
        <w:rPr>
          <w:rFonts w:ascii="Arial" w:hAnsi="Arial" w:cs="Arial" w:hint="eastAsia"/>
          <w:color w:val="000000" w:themeColor="text1"/>
          <w:sz w:val="22"/>
          <w:lang w:eastAsia="zh-HK"/>
        </w:rPr>
        <w:t xml:space="preserve"> </w:t>
      </w:r>
      <w:r w:rsidR="009A206F">
        <w:rPr>
          <w:rFonts w:ascii="Arial" w:hAnsi="Arial" w:cs="Arial" w:hint="eastAsia"/>
          <w:color w:val="000000" w:themeColor="text1"/>
          <w:sz w:val="22"/>
          <w:lang w:eastAsia="zh-HK"/>
        </w:rPr>
        <w:t>learning support and facilities</w:t>
      </w:r>
      <w:r w:rsidR="003A6A80">
        <w:rPr>
          <w:rFonts w:ascii="Arial" w:hAnsi="Arial" w:cs="Arial" w:hint="eastAsia"/>
          <w:color w:val="000000" w:themeColor="text1"/>
          <w:sz w:val="22"/>
          <w:lang w:eastAsia="zh-HK"/>
        </w:rPr>
        <w:t xml:space="preserve"> (e.g.</w:t>
      </w:r>
      <w:r w:rsidR="009A206F">
        <w:rPr>
          <w:rFonts w:ascii="Arial" w:hAnsi="Arial" w:cs="Arial" w:hint="eastAsia"/>
          <w:color w:val="000000" w:themeColor="text1"/>
          <w:sz w:val="22"/>
          <w:lang w:eastAsia="zh-HK"/>
        </w:rPr>
        <w:t xml:space="preserve"> library collection, internet and computer access,</w:t>
      </w:r>
      <w:r w:rsidR="003A6A80">
        <w:rPr>
          <w:rFonts w:ascii="Arial" w:hAnsi="Arial" w:cs="Arial" w:hint="eastAsia"/>
          <w:color w:val="000000" w:themeColor="text1"/>
          <w:sz w:val="22"/>
          <w:lang w:eastAsia="zh-HK"/>
        </w:rPr>
        <w:t xml:space="preserve"> online learning portal</w:t>
      </w:r>
      <w:r w:rsidR="009313F1">
        <w:rPr>
          <w:rFonts w:ascii="Arial" w:hAnsi="Arial" w:cs="Arial" w:hint="eastAsia"/>
          <w:color w:val="000000" w:themeColor="text1"/>
          <w:sz w:val="22"/>
          <w:lang w:eastAsia="zh-HK"/>
        </w:rPr>
        <w:t>s</w:t>
      </w:r>
      <w:r w:rsidR="003A6A80">
        <w:rPr>
          <w:rFonts w:ascii="Arial" w:hAnsi="Arial" w:cs="Arial" w:hint="eastAsia"/>
          <w:color w:val="000000" w:themeColor="text1"/>
          <w:sz w:val="22"/>
          <w:lang w:eastAsia="zh-HK"/>
        </w:rPr>
        <w:t>,</w:t>
      </w:r>
      <w:r w:rsidR="009A206F">
        <w:rPr>
          <w:rFonts w:ascii="Arial" w:hAnsi="Arial" w:cs="Arial" w:hint="eastAsia"/>
          <w:color w:val="000000" w:themeColor="text1"/>
          <w:sz w:val="22"/>
          <w:lang w:eastAsia="zh-HK"/>
        </w:rPr>
        <w:t xml:space="preserve"> and academic advice and conuselling</w:t>
      </w:r>
      <w:r w:rsidR="003A6A80">
        <w:rPr>
          <w:rFonts w:ascii="Arial" w:hAnsi="Arial" w:cs="Arial" w:hint="eastAsia"/>
          <w:color w:val="000000" w:themeColor="text1"/>
          <w:sz w:val="22"/>
          <w:lang w:eastAsia="zh-HK"/>
        </w:rPr>
        <w:t>)</w:t>
      </w:r>
      <w:r>
        <w:rPr>
          <w:rFonts w:ascii="Arial" w:hAnsi="Arial" w:cs="Arial" w:hint="eastAsia"/>
          <w:color w:val="000000" w:themeColor="text1"/>
          <w:sz w:val="22"/>
          <w:lang w:eastAsia="zh-HK"/>
        </w:rPr>
        <w:t>.</w:t>
      </w:r>
    </w:p>
    <w:p w:rsidR="009A206F" w:rsidRDefault="00305B18"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Validity of a</w:t>
      </w:r>
      <w:r w:rsidR="00590836">
        <w:rPr>
          <w:rFonts w:ascii="Arial" w:hAnsi="Arial" w:cs="Arial" w:hint="eastAsia"/>
          <w:color w:val="000000" w:themeColor="text1"/>
          <w:sz w:val="22"/>
          <w:lang w:eastAsia="zh-HK"/>
        </w:rPr>
        <w:t>s</w:t>
      </w:r>
      <w:r w:rsidR="0001143E">
        <w:rPr>
          <w:rFonts w:ascii="Arial" w:hAnsi="Arial" w:cs="Arial" w:hint="eastAsia"/>
          <w:color w:val="000000" w:themeColor="text1"/>
          <w:sz w:val="22"/>
          <w:lang w:eastAsia="zh-HK"/>
        </w:rPr>
        <w:t xml:space="preserve">sessment results of students </w:t>
      </w:r>
      <w:r>
        <w:rPr>
          <w:rFonts w:ascii="Arial" w:hAnsi="Arial" w:cs="Arial" w:hint="eastAsia"/>
          <w:color w:val="000000" w:themeColor="text1"/>
          <w:sz w:val="22"/>
          <w:lang w:eastAsia="zh-HK"/>
        </w:rPr>
        <w:t>on reflecting their</w:t>
      </w:r>
      <w:r w:rsidR="0001143E">
        <w:rPr>
          <w:rFonts w:ascii="Arial" w:hAnsi="Arial" w:cs="Arial" w:hint="eastAsia"/>
          <w:color w:val="000000" w:themeColor="text1"/>
          <w:sz w:val="22"/>
          <w:lang w:eastAsia="zh-HK"/>
        </w:rPr>
        <w:t xml:space="preserve"> performance</w:t>
      </w:r>
      <w:r>
        <w:rPr>
          <w:rFonts w:ascii="Arial" w:hAnsi="Arial" w:cs="Arial" w:hint="eastAsia"/>
          <w:color w:val="000000" w:themeColor="text1"/>
          <w:sz w:val="22"/>
          <w:lang w:eastAsia="zh-HK"/>
        </w:rPr>
        <w:t xml:space="preserve"> in the subjects.</w:t>
      </w:r>
    </w:p>
    <w:p w:rsidR="00305B18" w:rsidRDefault="00305B18"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Effectiveness of t</w:t>
      </w:r>
      <w:r w:rsidR="000975C6" w:rsidRPr="00305B18">
        <w:rPr>
          <w:rFonts w:ascii="Arial" w:hAnsi="Arial" w:cs="Arial" w:hint="eastAsia"/>
          <w:color w:val="000000" w:themeColor="text1"/>
          <w:sz w:val="22"/>
          <w:lang w:eastAsia="zh-HK"/>
        </w:rPr>
        <w:t>eaching methodolog</w:t>
      </w:r>
      <w:r w:rsidR="00A93A62" w:rsidRPr="00305B18">
        <w:rPr>
          <w:rFonts w:ascii="Arial" w:hAnsi="Arial" w:cs="Arial" w:hint="eastAsia"/>
          <w:color w:val="000000" w:themeColor="text1"/>
          <w:sz w:val="22"/>
          <w:lang w:eastAsia="zh-HK"/>
        </w:rPr>
        <w:t>y</w:t>
      </w:r>
      <w:r w:rsidR="000975C6" w:rsidRPr="00305B18">
        <w:rPr>
          <w:rFonts w:ascii="Arial" w:hAnsi="Arial" w:cs="Arial" w:hint="eastAsia"/>
          <w:color w:val="000000" w:themeColor="text1"/>
          <w:sz w:val="22"/>
          <w:lang w:eastAsia="zh-HK"/>
        </w:rPr>
        <w:t xml:space="preserve"> </w:t>
      </w:r>
      <w:r>
        <w:rPr>
          <w:rFonts w:ascii="Arial" w:hAnsi="Arial" w:cs="Arial" w:hint="eastAsia"/>
          <w:color w:val="000000" w:themeColor="text1"/>
          <w:sz w:val="22"/>
          <w:lang w:eastAsia="zh-HK"/>
        </w:rPr>
        <w:t xml:space="preserve">adopted </w:t>
      </w:r>
      <w:r w:rsidRPr="00305B18">
        <w:rPr>
          <w:rFonts w:ascii="Arial" w:hAnsi="Arial" w:cs="Arial" w:hint="eastAsia"/>
          <w:color w:val="000000" w:themeColor="text1"/>
          <w:sz w:val="22"/>
          <w:lang w:eastAsia="zh-HK"/>
        </w:rPr>
        <w:t>on enhancing</w:t>
      </w:r>
      <w:r w:rsidR="000975C6" w:rsidRPr="00305B18">
        <w:rPr>
          <w:rFonts w:ascii="Arial" w:hAnsi="Arial" w:cs="Arial" w:hint="eastAsia"/>
          <w:color w:val="000000" w:themeColor="text1"/>
          <w:sz w:val="22"/>
          <w:lang w:eastAsia="zh-HK"/>
        </w:rPr>
        <w:t xml:space="preserve"> active interaction </w:t>
      </w:r>
      <w:r w:rsidR="009A206F" w:rsidRPr="00305B18">
        <w:rPr>
          <w:rFonts w:ascii="Arial" w:hAnsi="Arial" w:cs="Arial" w:hint="eastAsia"/>
          <w:color w:val="000000" w:themeColor="text1"/>
          <w:sz w:val="22"/>
          <w:lang w:eastAsia="zh-HK"/>
        </w:rPr>
        <w:t xml:space="preserve">between teachers and </w:t>
      </w:r>
      <w:r w:rsidR="009A206F" w:rsidRPr="00305B18">
        <w:rPr>
          <w:rFonts w:ascii="Arial" w:hAnsi="Arial" w:cs="Arial"/>
          <w:color w:val="000000" w:themeColor="text1"/>
          <w:sz w:val="22"/>
          <w:lang w:eastAsia="zh-HK"/>
        </w:rPr>
        <w:t>students</w:t>
      </w:r>
      <w:r>
        <w:rPr>
          <w:rFonts w:ascii="Arial" w:hAnsi="Arial" w:cs="Arial" w:hint="eastAsia"/>
          <w:color w:val="000000" w:themeColor="text1"/>
          <w:sz w:val="22"/>
          <w:lang w:eastAsia="zh-HK"/>
        </w:rPr>
        <w:t>.</w:t>
      </w:r>
    </w:p>
    <w:p w:rsidR="00E100C4" w:rsidRPr="00305B18" w:rsidRDefault="00590836" w:rsidP="00AF5852">
      <w:pPr>
        <w:pStyle w:val="ListParagraph"/>
        <w:numPr>
          <w:ilvl w:val="0"/>
          <w:numId w:val="5"/>
        </w:numPr>
        <w:spacing w:line="280" w:lineRule="exact"/>
        <w:ind w:leftChars="0"/>
        <w:rPr>
          <w:rFonts w:ascii="Arial" w:hAnsi="Arial" w:cs="Arial"/>
          <w:color w:val="000000" w:themeColor="text1"/>
          <w:sz w:val="22"/>
          <w:lang w:eastAsia="zh-HK"/>
        </w:rPr>
      </w:pPr>
      <w:r w:rsidRPr="00305B18">
        <w:rPr>
          <w:rFonts w:ascii="Arial" w:hAnsi="Arial" w:cs="Arial" w:hint="eastAsia"/>
          <w:color w:val="000000" w:themeColor="text1"/>
          <w:sz w:val="22"/>
          <w:lang w:eastAsia="zh-HK"/>
        </w:rPr>
        <w:t>B</w:t>
      </w:r>
      <w:r w:rsidR="00E100C4" w:rsidRPr="00305B18">
        <w:rPr>
          <w:rFonts w:ascii="Arial" w:hAnsi="Arial" w:cs="Arial" w:hint="eastAsia"/>
          <w:color w:val="000000" w:themeColor="text1"/>
          <w:sz w:val="22"/>
          <w:lang w:eastAsia="zh-HK"/>
        </w:rPr>
        <w:t>alance between continuous assessment</w:t>
      </w:r>
      <w:r w:rsidRPr="00305B18">
        <w:rPr>
          <w:rFonts w:ascii="Arial" w:hAnsi="Arial" w:cs="Arial" w:hint="eastAsia"/>
          <w:color w:val="000000" w:themeColor="text1"/>
          <w:sz w:val="22"/>
          <w:lang w:eastAsia="zh-HK"/>
        </w:rPr>
        <w:t xml:space="preserve"> (</w:t>
      </w:r>
      <w:r w:rsidR="00E100C4" w:rsidRPr="00305B18">
        <w:rPr>
          <w:rFonts w:ascii="Arial" w:hAnsi="Arial" w:cs="Arial" w:hint="eastAsia"/>
          <w:color w:val="000000" w:themeColor="text1"/>
          <w:sz w:val="22"/>
          <w:lang w:eastAsia="zh-HK"/>
        </w:rPr>
        <w:t>coursework</w:t>
      </w:r>
      <w:r w:rsidRPr="00305B18">
        <w:rPr>
          <w:rFonts w:ascii="Arial" w:hAnsi="Arial" w:cs="Arial" w:hint="eastAsia"/>
          <w:color w:val="000000" w:themeColor="text1"/>
          <w:sz w:val="22"/>
          <w:lang w:eastAsia="zh-HK"/>
        </w:rPr>
        <w:t>)</w:t>
      </w:r>
      <w:r w:rsidR="00E100C4" w:rsidRPr="00305B18">
        <w:rPr>
          <w:rFonts w:ascii="Arial" w:hAnsi="Arial" w:cs="Arial" w:hint="eastAsia"/>
          <w:color w:val="000000" w:themeColor="text1"/>
          <w:sz w:val="22"/>
          <w:lang w:eastAsia="zh-HK"/>
        </w:rPr>
        <w:t xml:space="preserve"> and examination</w:t>
      </w:r>
      <w:r w:rsidRPr="00305B18">
        <w:rPr>
          <w:rFonts w:ascii="Arial" w:hAnsi="Arial" w:cs="Arial" w:hint="eastAsia"/>
          <w:color w:val="000000" w:themeColor="text1"/>
          <w:sz w:val="22"/>
          <w:lang w:eastAsia="zh-HK"/>
        </w:rPr>
        <w:t>.</w:t>
      </w:r>
    </w:p>
    <w:p w:rsidR="002A4E45" w:rsidRDefault="002A4E45" w:rsidP="00AF5852">
      <w:pPr>
        <w:pStyle w:val="ListParagraph"/>
        <w:numPr>
          <w:ilvl w:val="0"/>
          <w:numId w:val="5"/>
        </w:numPr>
        <w:spacing w:line="280" w:lineRule="exact"/>
        <w:ind w:leftChars="0"/>
        <w:rPr>
          <w:rFonts w:ascii="Arial" w:hAnsi="Arial" w:cs="Arial"/>
          <w:color w:val="000000" w:themeColor="text1"/>
          <w:sz w:val="22"/>
          <w:lang w:eastAsia="zh-HK"/>
        </w:rPr>
      </w:pPr>
      <w:r w:rsidRPr="002A4E45">
        <w:rPr>
          <w:rFonts w:ascii="Arial" w:hAnsi="Arial" w:cs="Arial" w:hint="eastAsia"/>
          <w:color w:val="000000" w:themeColor="text1"/>
          <w:sz w:val="22"/>
          <w:lang w:eastAsia="zh-HK"/>
        </w:rPr>
        <w:t>F</w:t>
      </w:r>
      <w:r w:rsidR="0001143E" w:rsidRPr="002A4E45">
        <w:rPr>
          <w:rFonts w:ascii="Arial" w:hAnsi="Arial" w:cs="Arial" w:hint="eastAsia"/>
          <w:color w:val="000000" w:themeColor="text1"/>
          <w:sz w:val="22"/>
          <w:lang w:eastAsia="zh-HK"/>
        </w:rPr>
        <w:t>orms and weightings of assessment methods</w:t>
      </w:r>
      <w:r>
        <w:rPr>
          <w:rFonts w:ascii="Arial" w:hAnsi="Arial" w:cs="Arial" w:hint="eastAsia"/>
          <w:color w:val="000000" w:themeColor="text1"/>
          <w:sz w:val="22"/>
          <w:lang w:eastAsia="zh-HK"/>
        </w:rPr>
        <w:t>.</w:t>
      </w:r>
    </w:p>
    <w:p w:rsidR="00E8194C" w:rsidRPr="00693ED8" w:rsidRDefault="00693ED8" w:rsidP="00AF5852">
      <w:pPr>
        <w:pStyle w:val="ListParagraph"/>
        <w:numPr>
          <w:ilvl w:val="0"/>
          <w:numId w:val="5"/>
        </w:numPr>
        <w:spacing w:line="280" w:lineRule="exact"/>
        <w:ind w:leftChars="0"/>
        <w:rPr>
          <w:rFonts w:ascii="Arial" w:hAnsi="Arial" w:cs="Arial"/>
          <w:color w:val="000000" w:themeColor="text1"/>
          <w:sz w:val="22"/>
          <w:lang w:eastAsia="zh-HK"/>
        </w:rPr>
      </w:pPr>
      <w:r>
        <w:rPr>
          <w:rFonts w:ascii="Arial" w:hAnsi="Arial" w:cs="Arial" w:hint="eastAsia"/>
          <w:color w:val="000000" w:themeColor="text1"/>
          <w:sz w:val="22"/>
          <w:lang w:eastAsia="zh-HK"/>
        </w:rPr>
        <w:t xml:space="preserve">Impact </w:t>
      </w:r>
      <w:r w:rsidRPr="00305B18">
        <w:rPr>
          <w:rFonts w:ascii="Arial" w:hAnsi="Arial" w:cs="Arial" w:hint="eastAsia"/>
          <w:color w:val="000000" w:themeColor="text1"/>
          <w:sz w:val="22"/>
          <w:lang w:eastAsia="zh-HK"/>
        </w:rPr>
        <w:t xml:space="preserve">of students' </w:t>
      </w:r>
      <w:r>
        <w:rPr>
          <w:rFonts w:ascii="Arial" w:hAnsi="Arial" w:cs="Arial" w:hint="eastAsia"/>
          <w:color w:val="000000" w:themeColor="text1"/>
          <w:sz w:val="22"/>
          <w:lang w:eastAsia="zh-HK"/>
        </w:rPr>
        <w:t>evaluation of teaching on improvement of</w:t>
      </w:r>
      <w:r w:rsidRPr="00305B18">
        <w:rPr>
          <w:rFonts w:ascii="Arial" w:hAnsi="Arial" w:cs="Arial" w:hint="eastAsia"/>
          <w:color w:val="000000" w:themeColor="text1"/>
          <w:sz w:val="22"/>
          <w:lang w:eastAsia="zh-HK"/>
        </w:rPr>
        <w:t xml:space="preserve"> programme delivery.</w:t>
      </w:r>
    </w:p>
    <w:p w:rsidR="00E8194C" w:rsidRDefault="00E8194C" w:rsidP="00693ED8">
      <w:pPr>
        <w:spacing w:line="280" w:lineRule="exact"/>
        <w:ind w:rightChars="50" w:right="120"/>
        <w:rPr>
          <w:rFonts w:ascii="Arial" w:hAnsi="Arial" w:cs="Arial"/>
          <w:b/>
          <w:color w:val="FFFFFF" w:themeColor="background1"/>
          <w:sz w:val="22"/>
          <w:lang w:eastAsia="zh-HK"/>
        </w:rPr>
      </w:pPr>
    </w:p>
    <w:p w:rsidR="00693ED8" w:rsidRPr="00693ED8" w:rsidRDefault="00693ED8" w:rsidP="00693ED8">
      <w:pPr>
        <w:spacing w:line="280" w:lineRule="exact"/>
        <w:ind w:rightChars="50" w:right="120"/>
        <w:rPr>
          <w:rFonts w:ascii="Arial" w:hAnsi="Arial" w:cs="Arial"/>
          <w:b/>
          <w:color w:val="FFFFFF" w:themeColor="background1"/>
          <w:sz w:val="22"/>
          <w:lang w:eastAsia="zh-HK"/>
        </w:rPr>
      </w:pPr>
    </w:p>
    <w:p w:rsidR="00E8194C" w:rsidRPr="00E8194C" w:rsidRDefault="00E8194C" w:rsidP="00E8194C">
      <w:pPr>
        <w:spacing w:line="280" w:lineRule="exact"/>
        <w:ind w:rightChars="50" w:right="120"/>
        <w:rPr>
          <w:rFonts w:ascii="Arial" w:hAnsi="Arial" w:cs="Arial"/>
          <w:b/>
          <w:color w:val="000000" w:themeColor="text1"/>
          <w:sz w:val="22"/>
          <w:lang w:eastAsia="zh-HK"/>
        </w:rPr>
      </w:pPr>
      <w:r w:rsidRPr="00E8194C">
        <w:rPr>
          <w:rFonts w:ascii="Arial" w:hAnsi="Arial" w:cs="Arial"/>
          <w:b/>
          <w:sz w:val="22"/>
          <w:lang w:eastAsia="zh-HK"/>
        </w:rPr>
        <w:t>5</w:t>
      </w:r>
      <w:r w:rsidR="007A1D34">
        <w:rPr>
          <w:rFonts w:ascii="Arial" w:hAnsi="Arial" w:cs="Arial" w:hint="eastAsia"/>
          <w:b/>
          <w:sz w:val="22"/>
          <w:lang w:eastAsia="zh-HK"/>
        </w:rPr>
        <w:tab/>
      </w:r>
      <w:r w:rsidRPr="00E8194C">
        <w:rPr>
          <w:rFonts w:ascii="Arial" w:hAnsi="Arial" w:cs="Arial"/>
          <w:b/>
          <w:color w:val="000000" w:themeColor="text1"/>
          <w:sz w:val="22"/>
          <w:lang w:eastAsia="zh-HK"/>
        </w:rPr>
        <w:t>Quality assurance mechanism and process</w:t>
      </w:r>
    </w:p>
    <w:p w:rsidR="00E8194C" w:rsidRDefault="00E8194C" w:rsidP="00E8194C">
      <w:pPr>
        <w:spacing w:line="280" w:lineRule="exact"/>
        <w:ind w:rightChars="50" w:right="120"/>
        <w:rPr>
          <w:rFonts w:ascii="Arial" w:hAnsi="Arial" w:cs="Arial"/>
          <w:b/>
          <w:color w:val="000000" w:themeColor="text1"/>
          <w:sz w:val="22"/>
          <w:lang w:eastAsia="zh-HK"/>
        </w:rPr>
      </w:pPr>
    </w:p>
    <w:p w:rsidR="00CC1EB4" w:rsidRPr="00F75308" w:rsidRDefault="00CC1EB4" w:rsidP="00E8194C">
      <w:pPr>
        <w:spacing w:line="280" w:lineRule="exact"/>
        <w:ind w:rightChars="50" w:right="120"/>
        <w:rPr>
          <w:rFonts w:ascii="Arial" w:hAnsi="Arial" w:cs="Arial"/>
          <w:color w:val="000000" w:themeColor="text1"/>
          <w:sz w:val="22"/>
          <w:lang w:eastAsia="zh-HK"/>
        </w:rPr>
      </w:pPr>
      <w:r w:rsidRPr="00F75308">
        <w:rPr>
          <w:rFonts w:ascii="Arial" w:hAnsi="Arial" w:cs="Arial" w:hint="eastAsia"/>
          <w:color w:val="000000" w:themeColor="text1"/>
          <w:sz w:val="22"/>
          <w:lang w:eastAsia="zh-HK"/>
        </w:rPr>
        <w:t>Well established and documented quality assurance policies and procedures are crucial to the monitoring, critical evaluation and maintenance o</w:t>
      </w:r>
      <w:r w:rsidR="00F75308">
        <w:rPr>
          <w:rFonts w:ascii="Arial" w:hAnsi="Arial" w:cs="Arial" w:hint="eastAsia"/>
          <w:color w:val="000000" w:themeColor="text1"/>
          <w:sz w:val="22"/>
          <w:lang w:eastAsia="zh-HK"/>
        </w:rPr>
        <w:t xml:space="preserve">f the standard of the </w:t>
      </w:r>
      <w:proofErr w:type="spellStart"/>
      <w:r w:rsidR="00F75308">
        <w:rPr>
          <w:rFonts w:ascii="Arial" w:hAnsi="Arial" w:cs="Arial" w:hint="eastAsia"/>
          <w:color w:val="000000" w:themeColor="text1"/>
          <w:sz w:val="22"/>
          <w:lang w:eastAsia="zh-HK"/>
        </w:rPr>
        <w:t>programme</w:t>
      </w:r>
      <w:proofErr w:type="spellEnd"/>
      <w:r w:rsidR="00F75308">
        <w:rPr>
          <w:rFonts w:ascii="Arial" w:hAnsi="Arial" w:cs="Arial" w:hint="eastAsia"/>
          <w:color w:val="000000" w:themeColor="text1"/>
          <w:sz w:val="22"/>
          <w:lang w:eastAsia="zh-HK"/>
        </w:rPr>
        <w:t>, which include</w:t>
      </w:r>
      <w:r w:rsidR="004B1AE9">
        <w:rPr>
          <w:rFonts w:ascii="Arial" w:hAnsi="Arial" w:cs="Arial" w:hint="eastAsia"/>
          <w:color w:val="000000" w:themeColor="text1"/>
          <w:sz w:val="22"/>
        </w:rPr>
        <w:t xml:space="preserve"> but not limited to the following</w:t>
      </w:r>
      <w:r w:rsidR="00F75308">
        <w:rPr>
          <w:rFonts w:ascii="Arial" w:hAnsi="Arial" w:cs="Arial" w:hint="eastAsia"/>
          <w:color w:val="000000" w:themeColor="text1"/>
          <w:sz w:val="22"/>
          <w:lang w:eastAsia="zh-HK"/>
        </w:rPr>
        <w:t>:</w:t>
      </w:r>
    </w:p>
    <w:p w:rsidR="00CC1EB4" w:rsidRPr="00CC1EB4" w:rsidRDefault="00CC1EB4" w:rsidP="00E8194C">
      <w:pPr>
        <w:spacing w:line="280" w:lineRule="exact"/>
        <w:ind w:rightChars="50" w:right="120"/>
        <w:rPr>
          <w:rFonts w:ascii="Arial" w:hAnsi="Arial" w:cs="Arial"/>
          <w:color w:val="000000" w:themeColor="text1"/>
          <w:sz w:val="20"/>
          <w:szCs w:val="20"/>
          <w:lang w:eastAsia="zh-HK"/>
        </w:rPr>
      </w:pPr>
    </w:p>
    <w:p w:rsidR="00E8194C" w:rsidRPr="004F6C00" w:rsidRDefault="009A206F" w:rsidP="00AF5852">
      <w:pPr>
        <w:pStyle w:val="ListParagraph"/>
        <w:numPr>
          <w:ilvl w:val="0"/>
          <w:numId w:val="2"/>
        </w:numPr>
        <w:spacing w:line="280" w:lineRule="exact"/>
        <w:ind w:leftChars="0" w:rightChars="50" w:right="120"/>
        <w:rPr>
          <w:rFonts w:ascii="Arial" w:hAnsi="Arial" w:cs="Arial"/>
          <w:color w:val="000000" w:themeColor="text1"/>
          <w:sz w:val="22"/>
          <w:lang w:eastAsia="zh-HK"/>
        </w:rPr>
      </w:pPr>
      <w:r>
        <w:rPr>
          <w:rFonts w:ascii="Arial" w:hAnsi="Arial" w:cs="Arial" w:hint="eastAsia"/>
          <w:sz w:val="22"/>
          <w:lang w:eastAsia="zh-HK"/>
        </w:rPr>
        <w:t>QA</w:t>
      </w:r>
      <w:r w:rsidR="00E8194C" w:rsidRPr="00994AB9">
        <w:rPr>
          <w:rFonts w:ascii="Arial" w:hAnsi="Arial" w:cs="Arial"/>
          <w:sz w:val="22"/>
          <w:lang w:eastAsia="zh-HK"/>
        </w:rPr>
        <w:t xml:space="preserve"> mechanism</w:t>
      </w:r>
      <w:r w:rsidR="004F6C00">
        <w:rPr>
          <w:rFonts w:ascii="Arial" w:hAnsi="Arial" w:cs="Arial" w:hint="eastAsia"/>
          <w:sz w:val="22"/>
          <w:lang w:eastAsia="zh-HK"/>
        </w:rPr>
        <w:t xml:space="preserve"> (internal and external; </w:t>
      </w:r>
      <w:r w:rsidR="00E8194C" w:rsidRPr="00994AB9">
        <w:rPr>
          <w:rFonts w:ascii="Arial" w:hAnsi="Arial" w:cs="Arial"/>
          <w:sz w:val="22"/>
          <w:lang w:eastAsia="zh-HK"/>
        </w:rPr>
        <w:t>institutional-wide</w:t>
      </w:r>
      <w:r w:rsidR="00A73EB3">
        <w:rPr>
          <w:rFonts w:ascii="Arial" w:hAnsi="Arial" w:cs="Arial" w:hint="eastAsia"/>
          <w:sz w:val="22"/>
          <w:lang w:eastAsia="zh-HK"/>
        </w:rPr>
        <w:t xml:space="preserve"> and </w:t>
      </w:r>
      <w:r w:rsidR="00E8194C" w:rsidRPr="00994AB9">
        <w:rPr>
          <w:rFonts w:ascii="Arial" w:hAnsi="Arial" w:cs="Arial"/>
          <w:sz w:val="22"/>
          <w:lang w:eastAsia="zh-HK"/>
        </w:rPr>
        <w:t>programme-specific</w:t>
      </w:r>
      <w:r w:rsidR="004F6C00">
        <w:rPr>
          <w:rFonts w:ascii="Arial" w:hAnsi="Arial" w:cs="Arial" w:hint="eastAsia"/>
          <w:sz w:val="22"/>
          <w:lang w:eastAsia="zh-HK"/>
        </w:rPr>
        <w:t>)</w:t>
      </w:r>
      <w:r w:rsidR="00305B18">
        <w:rPr>
          <w:rFonts w:ascii="Arial" w:hAnsi="Arial" w:cs="Arial" w:hint="eastAsia"/>
          <w:sz w:val="22"/>
          <w:lang w:eastAsia="zh-HK"/>
        </w:rPr>
        <w:t xml:space="preserve"> of the Programme.</w:t>
      </w:r>
    </w:p>
    <w:p w:rsidR="00994AB9" w:rsidRPr="004F6C00" w:rsidRDefault="00305B18" w:rsidP="00AF5852">
      <w:pPr>
        <w:pStyle w:val="ListParagraph"/>
        <w:numPr>
          <w:ilvl w:val="0"/>
          <w:numId w:val="2"/>
        </w:numPr>
        <w:spacing w:line="280" w:lineRule="exact"/>
        <w:ind w:leftChars="0" w:rightChars="50" w:right="120"/>
        <w:rPr>
          <w:rFonts w:ascii="Arial" w:hAnsi="Arial" w:cs="Arial"/>
          <w:color w:val="000000" w:themeColor="text1"/>
          <w:sz w:val="22"/>
          <w:lang w:eastAsia="zh-HK"/>
        </w:rPr>
      </w:pPr>
      <w:r>
        <w:rPr>
          <w:rFonts w:ascii="Arial" w:hAnsi="Arial" w:cs="Arial" w:hint="eastAsia"/>
          <w:sz w:val="22"/>
          <w:lang w:eastAsia="zh-HK"/>
        </w:rPr>
        <w:t>O</w:t>
      </w:r>
      <w:r w:rsidR="007A1D34">
        <w:rPr>
          <w:rFonts w:ascii="Arial" w:hAnsi="Arial" w:cs="Arial" w:hint="eastAsia"/>
          <w:sz w:val="22"/>
          <w:lang w:eastAsia="zh-HK"/>
        </w:rPr>
        <w:t>perati</w:t>
      </w:r>
      <w:r w:rsidR="00693ED8">
        <w:rPr>
          <w:rFonts w:ascii="Arial" w:hAnsi="Arial" w:cs="Arial" w:hint="eastAsia"/>
          <w:sz w:val="22"/>
          <w:lang w:eastAsia="zh-HK"/>
        </w:rPr>
        <w:t xml:space="preserve">ng </w:t>
      </w:r>
      <w:r w:rsidR="007A1D34">
        <w:rPr>
          <w:rFonts w:ascii="Arial" w:hAnsi="Arial" w:cs="Arial" w:hint="eastAsia"/>
          <w:sz w:val="22"/>
          <w:lang w:eastAsia="zh-HK"/>
        </w:rPr>
        <w:t xml:space="preserve">and review </w:t>
      </w:r>
      <w:r w:rsidR="004F6C00">
        <w:rPr>
          <w:rFonts w:ascii="Arial" w:hAnsi="Arial" w:cs="Arial" w:hint="eastAsia"/>
          <w:sz w:val="22"/>
          <w:lang w:eastAsia="zh-HK"/>
        </w:rPr>
        <w:t xml:space="preserve">mechanism/ process for </w:t>
      </w:r>
      <w:r w:rsidR="00994AB9" w:rsidRPr="004F6C00">
        <w:rPr>
          <w:rFonts w:ascii="Arial" w:hAnsi="Arial" w:cs="Arial" w:hint="eastAsia"/>
          <w:sz w:val="22"/>
          <w:lang w:eastAsia="zh-HK"/>
        </w:rPr>
        <w:t>e</w:t>
      </w:r>
      <w:r w:rsidR="00994AB9" w:rsidRPr="004F6C00">
        <w:rPr>
          <w:rFonts w:ascii="Arial" w:hAnsi="Arial" w:cs="Arial"/>
          <w:sz w:val="22"/>
          <w:lang w:eastAsia="zh-HK"/>
        </w:rPr>
        <w:t>xamination setting, marking and moderation</w:t>
      </w:r>
      <w:r>
        <w:rPr>
          <w:rFonts w:ascii="Arial" w:hAnsi="Arial" w:cs="Arial" w:hint="eastAsia"/>
          <w:sz w:val="22"/>
          <w:lang w:eastAsia="zh-HK"/>
        </w:rPr>
        <w:t>.</w:t>
      </w:r>
    </w:p>
    <w:p w:rsidR="00E8194C" w:rsidRDefault="00693ED8" w:rsidP="00AF5852">
      <w:pPr>
        <w:pStyle w:val="ListParagraph"/>
        <w:numPr>
          <w:ilvl w:val="0"/>
          <w:numId w:val="2"/>
        </w:numPr>
        <w:spacing w:line="280" w:lineRule="exact"/>
        <w:ind w:leftChars="0" w:rightChars="50" w:right="120"/>
        <w:rPr>
          <w:rFonts w:ascii="Arial" w:hAnsi="Arial" w:cs="Arial"/>
          <w:sz w:val="22"/>
          <w:lang w:eastAsia="zh-HK"/>
        </w:rPr>
      </w:pPr>
      <w:r>
        <w:rPr>
          <w:rFonts w:ascii="Arial" w:hAnsi="Arial" w:cs="Arial" w:hint="eastAsia"/>
          <w:sz w:val="22"/>
          <w:lang w:eastAsia="zh-HK"/>
        </w:rPr>
        <w:t>D</w:t>
      </w:r>
      <w:r w:rsidR="004F6C00">
        <w:rPr>
          <w:rFonts w:ascii="Arial" w:hAnsi="Arial" w:cs="Arial" w:hint="eastAsia"/>
          <w:sz w:val="22"/>
          <w:lang w:eastAsia="zh-HK"/>
        </w:rPr>
        <w:t xml:space="preserve">ocumentation </w:t>
      </w:r>
      <w:r>
        <w:rPr>
          <w:rFonts w:ascii="Arial" w:hAnsi="Arial" w:cs="Arial" w:hint="eastAsia"/>
          <w:sz w:val="22"/>
          <w:lang w:eastAsia="zh-HK"/>
        </w:rPr>
        <w:t>of</w:t>
      </w:r>
      <w:r w:rsidR="004F6C00">
        <w:rPr>
          <w:rFonts w:ascii="Arial" w:hAnsi="Arial" w:cs="Arial" w:hint="eastAsia"/>
          <w:sz w:val="22"/>
          <w:lang w:eastAsia="zh-HK"/>
        </w:rPr>
        <w:t xml:space="preserve"> the delivery, monitoring and evaluation of the </w:t>
      </w:r>
      <w:proofErr w:type="spellStart"/>
      <w:r w:rsidR="004F6C00">
        <w:rPr>
          <w:rFonts w:ascii="Arial" w:hAnsi="Arial" w:cs="Arial" w:hint="eastAsia"/>
          <w:sz w:val="22"/>
          <w:lang w:eastAsia="zh-HK"/>
        </w:rPr>
        <w:t>Programme</w:t>
      </w:r>
      <w:proofErr w:type="spellEnd"/>
      <w:r>
        <w:rPr>
          <w:rFonts w:ascii="Arial" w:hAnsi="Arial" w:cs="Arial" w:hint="eastAsia"/>
          <w:sz w:val="22"/>
          <w:lang w:eastAsia="zh-HK"/>
        </w:rPr>
        <w:t>.</w:t>
      </w:r>
    </w:p>
    <w:p w:rsidR="00EA41A9" w:rsidRPr="00EA41A9" w:rsidRDefault="00EA41A9" w:rsidP="00EA41A9">
      <w:pPr>
        <w:spacing w:line="280" w:lineRule="exact"/>
        <w:ind w:rightChars="50" w:right="120"/>
        <w:rPr>
          <w:rFonts w:ascii="Arial" w:hAnsi="Arial" w:cs="Arial"/>
          <w:sz w:val="22"/>
          <w:lang w:eastAsia="zh-HK"/>
        </w:rPr>
      </w:pPr>
    </w:p>
    <w:p w:rsidR="00E8194C" w:rsidRPr="00E8194C" w:rsidRDefault="007A1D34" w:rsidP="00E100C4">
      <w:pPr>
        <w:spacing w:line="280" w:lineRule="exact"/>
        <w:ind w:left="425" w:rightChars="50" w:right="120" w:hangingChars="193" w:hanging="425"/>
        <w:rPr>
          <w:rFonts w:ascii="Arial" w:hAnsi="Arial" w:cs="Arial"/>
          <w:b/>
          <w:sz w:val="22"/>
          <w:lang w:eastAsia="zh-HK"/>
        </w:rPr>
      </w:pPr>
      <w:r>
        <w:rPr>
          <w:rFonts w:ascii="Arial" w:hAnsi="Arial" w:cs="Arial" w:hint="eastAsia"/>
          <w:b/>
          <w:sz w:val="22"/>
          <w:lang w:eastAsia="zh-HK"/>
        </w:rPr>
        <w:t>6</w:t>
      </w:r>
      <w:r w:rsidR="00E100C4">
        <w:rPr>
          <w:rFonts w:ascii="Arial" w:hAnsi="Arial" w:cs="Arial" w:hint="eastAsia"/>
          <w:b/>
          <w:sz w:val="22"/>
          <w:lang w:eastAsia="zh-HK"/>
        </w:rPr>
        <w:tab/>
      </w:r>
      <w:r w:rsidR="00E8194C" w:rsidRPr="00E8194C">
        <w:rPr>
          <w:rFonts w:ascii="Arial" w:hAnsi="Arial" w:cs="Arial"/>
          <w:b/>
          <w:sz w:val="22"/>
          <w:lang w:eastAsia="zh-HK"/>
        </w:rPr>
        <w:t>Other</w:t>
      </w:r>
      <w:r w:rsidR="004F6C00">
        <w:rPr>
          <w:rFonts w:ascii="Arial" w:hAnsi="Arial" w:cs="Arial" w:hint="eastAsia"/>
          <w:b/>
          <w:sz w:val="22"/>
          <w:lang w:eastAsia="zh-HK"/>
        </w:rPr>
        <w:t xml:space="preserve"> </w:t>
      </w:r>
      <w:r w:rsidR="002D3396">
        <w:rPr>
          <w:rFonts w:ascii="Arial" w:hAnsi="Arial" w:cs="Arial" w:hint="eastAsia"/>
          <w:b/>
          <w:sz w:val="22"/>
          <w:lang w:eastAsia="zh-HK"/>
        </w:rPr>
        <w:t xml:space="preserve">Assessment </w:t>
      </w:r>
      <w:r w:rsidR="004F6C00">
        <w:rPr>
          <w:rFonts w:ascii="Arial" w:hAnsi="Arial" w:cs="Arial" w:hint="eastAsia"/>
          <w:b/>
          <w:sz w:val="22"/>
          <w:lang w:eastAsia="zh-HK"/>
        </w:rPr>
        <w:t>Areas</w:t>
      </w:r>
    </w:p>
    <w:p w:rsidR="00E8194C" w:rsidRPr="000F55C8" w:rsidRDefault="00E8194C" w:rsidP="00E8194C">
      <w:pPr>
        <w:spacing w:line="280" w:lineRule="exact"/>
        <w:ind w:rightChars="50" w:right="120"/>
        <w:rPr>
          <w:rFonts w:ascii="Arial" w:hAnsi="Arial" w:cs="Arial"/>
          <w:sz w:val="22"/>
          <w:lang w:eastAsia="zh-HK"/>
        </w:rPr>
      </w:pPr>
    </w:p>
    <w:p w:rsidR="00E8194C" w:rsidRPr="00994AB9" w:rsidRDefault="000F55C8" w:rsidP="00AF5852">
      <w:pPr>
        <w:pStyle w:val="ListParagraph"/>
        <w:numPr>
          <w:ilvl w:val="0"/>
          <w:numId w:val="1"/>
        </w:numPr>
        <w:spacing w:line="280" w:lineRule="exact"/>
        <w:ind w:leftChars="0" w:rightChars="50" w:right="120"/>
        <w:rPr>
          <w:rFonts w:ascii="Arial" w:hAnsi="Arial" w:cs="Arial"/>
          <w:color w:val="FFFFFF" w:themeColor="background1"/>
          <w:sz w:val="22"/>
          <w:lang w:eastAsia="zh-HK"/>
        </w:rPr>
      </w:pPr>
      <w:r w:rsidRPr="00994AB9">
        <w:rPr>
          <w:rFonts w:ascii="Arial" w:hAnsi="Arial" w:cs="Arial"/>
          <w:sz w:val="22"/>
          <w:lang w:eastAsia="zh-HK"/>
        </w:rPr>
        <w:t>F</w:t>
      </w:r>
      <w:r w:rsidR="00E100C4">
        <w:rPr>
          <w:rFonts w:ascii="Arial" w:hAnsi="Arial" w:cs="Arial"/>
          <w:sz w:val="22"/>
          <w:lang w:eastAsia="zh-HK"/>
        </w:rPr>
        <w:t>ulfillment of conditions and on</w:t>
      </w:r>
      <w:r w:rsidRPr="00994AB9">
        <w:rPr>
          <w:rFonts w:ascii="Arial" w:hAnsi="Arial" w:cs="Arial"/>
          <w:sz w:val="22"/>
          <w:lang w:eastAsia="zh-HK"/>
        </w:rPr>
        <w:t>going requirements imposed in the previous accreditation exercise</w:t>
      </w:r>
      <w:r w:rsidR="00693ED8">
        <w:rPr>
          <w:rFonts w:ascii="Arial" w:hAnsi="Arial" w:cs="Arial" w:hint="eastAsia"/>
          <w:sz w:val="22"/>
          <w:lang w:eastAsia="zh-HK"/>
        </w:rPr>
        <w:t>.</w:t>
      </w:r>
    </w:p>
    <w:p w:rsidR="00E8194C" w:rsidRPr="00693ED8" w:rsidRDefault="00E100C4" w:rsidP="00AF5852">
      <w:pPr>
        <w:pStyle w:val="ListParagraph"/>
        <w:numPr>
          <w:ilvl w:val="0"/>
          <w:numId w:val="1"/>
        </w:numPr>
        <w:spacing w:line="280" w:lineRule="exact"/>
        <w:ind w:leftChars="0" w:rightChars="50" w:right="120"/>
        <w:rPr>
          <w:rFonts w:ascii="Arial" w:hAnsi="Arial" w:cs="Arial"/>
          <w:color w:val="FFFFFF" w:themeColor="background1"/>
          <w:sz w:val="22"/>
          <w:lang w:eastAsia="zh-HK"/>
        </w:rPr>
      </w:pPr>
      <w:r>
        <w:rPr>
          <w:rFonts w:ascii="Arial" w:hAnsi="Arial" w:cs="Arial" w:hint="eastAsia"/>
          <w:sz w:val="22"/>
          <w:lang w:eastAsia="zh-HK"/>
        </w:rPr>
        <w:t>M</w:t>
      </w:r>
      <w:r w:rsidR="000F55C8" w:rsidRPr="00994AB9">
        <w:rPr>
          <w:rFonts w:ascii="Arial" w:hAnsi="Arial" w:cs="Arial"/>
          <w:sz w:val="22"/>
          <w:lang w:eastAsia="zh-HK"/>
        </w:rPr>
        <w:t>easures taken in response to the recommendations given in the previous accreditation exercise</w:t>
      </w:r>
      <w:r w:rsidR="00693ED8">
        <w:rPr>
          <w:rFonts w:ascii="Arial" w:hAnsi="Arial" w:cs="Arial" w:hint="eastAsia"/>
          <w:sz w:val="22"/>
          <w:lang w:eastAsia="zh-HK"/>
        </w:rPr>
        <w:t>.</w:t>
      </w:r>
    </w:p>
    <w:p w:rsidR="00693ED8" w:rsidRPr="00994AB9" w:rsidRDefault="007D5593" w:rsidP="00AF5852">
      <w:pPr>
        <w:pStyle w:val="ListParagraph"/>
        <w:numPr>
          <w:ilvl w:val="0"/>
          <w:numId w:val="1"/>
        </w:numPr>
        <w:spacing w:line="280" w:lineRule="exact"/>
        <w:ind w:leftChars="0" w:rightChars="50" w:right="120"/>
        <w:rPr>
          <w:rFonts w:ascii="Arial" w:hAnsi="Arial" w:cs="Arial"/>
          <w:color w:val="FFFFFF" w:themeColor="background1"/>
          <w:sz w:val="22"/>
          <w:lang w:eastAsia="zh-HK"/>
        </w:rPr>
      </w:pPr>
      <w:r>
        <w:rPr>
          <w:rFonts w:ascii="Arial" w:hAnsi="Arial" w:cs="Arial" w:hint="eastAsia"/>
          <w:sz w:val="22"/>
          <w:lang w:eastAsia="zh-HK"/>
        </w:rPr>
        <w:t>Other areas (e.g. g</w:t>
      </w:r>
      <w:r w:rsidR="00693ED8">
        <w:rPr>
          <w:rFonts w:ascii="Arial" w:hAnsi="Arial" w:cs="Arial" w:hint="eastAsia"/>
          <w:sz w:val="22"/>
          <w:lang w:eastAsia="zh-HK"/>
        </w:rPr>
        <w:t>raduates' performance in the QP</w:t>
      </w:r>
      <w:r>
        <w:rPr>
          <w:rFonts w:ascii="Arial" w:hAnsi="Arial" w:cs="Arial" w:hint="eastAsia"/>
          <w:sz w:val="22"/>
          <w:lang w:eastAsia="zh-HK"/>
        </w:rPr>
        <w:t>).</w:t>
      </w:r>
    </w:p>
    <w:p w:rsidR="00A73EB3" w:rsidRDefault="00A73EB3">
      <w:pPr>
        <w:rPr>
          <w:rFonts w:ascii="Arial" w:hAnsi="Arial" w:cs="Arial"/>
          <w:sz w:val="22"/>
          <w:lang w:eastAsia="zh-HK"/>
        </w:rPr>
      </w:pPr>
    </w:p>
    <w:p w:rsidR="00910214" w:rsidRDefault="00910214" w:rsidP="00910214">
      <w:pPr>
        <w:pStyle w:val="Default"/>
        <w:rPr>
          <w:sz w:val="22"/>
          <w:szCs w:val="22"/>
        </w:rPr>
      </w:pPr>
    </w:p>
    <w:p w:rsidR="00910214" w:rsidRDefault="00910214" w:rsidP="00910214">
      <w:pPr>
        <w:pStyle w:val="Default"/>
        <w:rPr>
          <w:sz w:val="22"/>
          <w:szCs w:val="22"/>
        </w:rPr>
      </w:pPr>
    </w:p>
    <w:p w:rsidR="00910214" w:rsidRDefault="00910214" w:rsidP="00910214">
      <w:pPr>
        <w:pStyle w:val="Default"/>
        <w:rPr>
          <w:sz w:val="22"/>
          <w:szCs w:val="22"/>
        </w:rPr>
      </w:pPr>
      <w:r>
        <w:rPr>
          <w:sz w:val="22"/>
          <w:szCs w:val="22"/>
        </w:rPr>
        <w:t xml:space="preserve">Hong Kong Institute of CPAs </w:t>
      </w:r>
    </w:p>
    <w:p w:rsidR="00910214" w:rsidRPr="00910214" w:rsidRDefault="00910214" w:rsidP="00910214">
      <w:pPr>
        <w:pStyle w:val="Default"/>
        <w:rPr>
          <w:sz w:val="22"/>
          <w:szCs w:val="22"/>
          <w:u w:val="single"/>
        </w:rPr>
      </w:pPr>
      <w:r w:rsidRPr="00910214">
        <w:rPr>
          <w:rFonts w:hint="eastAsia"/>
          <w:sz w:val="22"/>
          <w:szCs w:val="22"/>
          <w:u w:val="single"/>
        </w:rPr>
        <w:t>April</w:t>
      </w:r>
      <w:r w:rsidRPr="00910214">
        <w:rPr>
          <w:sz w:val="22"/>
          <w:szCs w:val="22"/>
          <w:u w:val="single"/>
        </w:rPr>
        <w:t xml:space="preserve"> 201</w:t>
      </w:r>
      <w:r w:rsidRPr="00910214">
        <w:rPr>
          <w:rFonts w:hint="eastAsia"/>
          <w:sz w:val="22"/>
          <w:szCs w:val="22"/>
          <w:u w:val="single"/>
        </w:rPr>
        <w:t>8</w:t>
      </w:r>
    </w:p>
    <w:sectPr w:rsidR="00910214" w:rsidRPr="00910214" w:rsidSect="0085081C">
      <w:headerReference w:type="even" r:id="rId8"/>
      <w:headerReference w:type="default" r:id="rId9"/>
      <w:footerReference w:type="default" r:id="rId10"/>
      <w:headerReference w:type="first" r:id="rId11"/>
      <w:footerReference w:type="first" r:id="rId12"/>
      <w:pgSz w:w="11906" w:h="16838" w:code="9"/>
      <w:pgMar w:top="1797" w:right="1440" w:bottom="1701" w:left="1440" w:header="720" w:footer="833"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52" w:rsidRDefault="00576D52" w:rsidP="00E02DB0">
      <w:r>
        <w:separator/>
      </w:r>
    </w:p>
  </w:endnote>
  <w:endnote w:type="continuationSeparator" w:id="0">
    <w:p w:rsidR="00576D52" w:rsidRDefault="00576D52" w:rsidP="00E02D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52" w:rsidRPr="00C20FD5" w:rsidRDefault="00576D52" w:rsidP="00C20FD5">
    <w:pPr>
      <w:pStyle w:val="Footer"/>
      <w:tabs>
        <w:tab w:val="clear" w:pos="4153"/>
        <w:tab w:val="clear" w:pos="8306"/>
        <w:tab w:val="right" w:pos="9029"/>
      </w:tabs>
      <w:rPr>
        <w:rFonts w:ascii="Arial" w:hAnsi="Arial" w:cs="Arial"/>
      </w:rPr>
    </w:pPr>
    <w:r>
      <w:rPr>
        <w:rFonts w:hint="eastAsia"/>
      </w:rPr>
      <w:tab/>
    </w:r>
    <w:r w:rsidRPr="0085081C">
      <w:rPr>
        <w:rFonts w:ascii="Arial" w:hAnsi="Arial" w:cs="Arial"/>
      </w:rPr>
      <w:fldChar w:fldCharType="begin"/>
    </w:r>
    <w:r w:rsidRPr="0085081C">
      <w:rPr>
        <w:rFonts w:ascii="Arial" w:hAnsi="Arial" w:cs="Arial"/>
      </w:rPr>
      <w:instrText xml:space="preserve"> PAGE   \* MERGEFORMAT </w:instrText>
    </w:r>
    <w:r w:rsidRPr="0085081C">
      <w:rPr>
        <w:rFonts w:ascii="Arial" w:hAnsi="Arial" w:cs="Arial"/>
      </w:rPr>
      <w:fldChar w:fldCharType="separate"/>
    </w:r>
    <w:r w:rsidR="00FC696F" w:rsidRPr="00FC696F">
      <w:rPr>
        <w:rFonts w:ascii="Arial" w:hAnsi="Arial" w:cs="Arial"/>
        <w:noProof/>
        <w:lang w:val="zh-HK"/>
      </w:rPr>
      <w:t>3</w:t>
    </w:r>
    <w:r w:rsidRPr="0085081C">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52" w:rsidRPr="0085081C" w:rsidRDefault="00576D52" w:rsidP="0027068C">
    <w:pPr>
      <w:pStyle w:val="Footer"/>
      <w:tabs>
        <w:tab w:val="clear" w:pos="4153"/>
        <w:tab w:val="clear" w:pos="8306"/>
        <w:tab w:val="right" w:pos="9029"/>
      </w:tabs>
      <w:rPr>
        <w:rFonts w:ascii="Arial" w:hAnsi="Arial" w:cs="Arial"/>
      </w:rPr>
    </w:pPr>
    <w:r>
      <w:rPr>
        <w:rFonts w:hint="eastAsia"/>
      </w:rPr>
      <w:tab/>
    </w:r>
    <w:r w:rsidRPr="0085081C">
      <w:rPr>
        <w:rFonts w:ascii="Arial" w:hAnsi="Arial" w:cs="Arial"/>
      </w:rPr>
      <w:fldChar w:fldCharType="begin"/>
    </w:r>
    <w:r w:rsidRPr="0085081C">
      <w:rPr>
        <w:rFonts w:ascii="Arial" w:hAnsi="Arial" w:cs="Arial"/>
      </w:rPr>
      <w:instrText xml:space="preserve"> PAGE   \* MERGEFORMAT </w:instrText>
    </w:r>
    <w:r w:rsidRPr="0085081C">
      <w:rPr>
        <w:rFonts w:ascii="Arial" w:hAnsi="Arial" w:cs="Arial"/>
      </w:rPr>
      <w:fldChar w:fldCharType="separate"/>
    </w:r>
    <w:r w:rsidR="00FC696F" w:rsidRPr="00FC696F">
      <w:rPr>
        <w:rFonts w:ascii="Arial" w:hAnsi="Arial" w:cs="Arial"/>
        <w:noProof/>
        <w:lang w:val="zh-HK"/>
      </w:rPr>
      <w:t>1</w:t>
    </w:r>
    <w:r w:rsidRPr="0085081C">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52" w:rsidRDefault="00576D52" w:rsidP="00E02DB0">
      <w:r>
        <w:separator/>
      </w:r>
    </w:p>
  </w:footnote>
  <w:footnote w:type="continuationSeparator" w:id="0">
    <w:p w:rsidR="00576D52" w:rsidRDefault="00576D52" w:rsidP="00E02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52" w:rsidRDefault="00576D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28" o:spid="_x0000_s71721" type="#_x0000_t75" style="position:absolute;margin-left:0;margin-top:0;width:338.4pt;height:203.1pt;z-index:-251655168;mso-position-horizontal:center;mso-position-horizontal-relative:margin;mso-position-vertical:center;mso-position-vertical-relative:margin" o:allowincell="f">
          <v:imagedata r:id="rId1" o:title="watermark 5 -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52" w:rsidRDefault="00576D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29" o:spid="_x0000_s71722" type="#_x0000_t75" style="position:absolute;margin-left:0;margin-top:0;width:338.4pt;height:203.1pt;z-index:-251654144;mso-position-horizontal:center;mso-position-horizontal-relative:margin;mso-position-vertical:center;mso-position-vertical-relative:margin" o:allowincell="f">
          <v:imagedata r:id="rId1" o:title="watermark 5 -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52" w:rsidRPr="0085081C" w:rsidRDefault="00576D52" w:rsidP="008508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27" o:spid="_x0000_s71720" type="#_x0000_t75" style="position:absolute;margin-left:0;margin-top:0;width:338.4pt;height:203.1pt;z-index:-251656192;mso-position-horizontal:center;mso-position-horizontal-relative:margin;mso-position-vertical:center;mso-position-vertical-relative:margin" o:allowincell="f">
          <v:imagedata r:id="rId1" o:title="watermark 5 - Copy"/>
          <w10:wrap anchorx="margin" anchory="margin"/>
        </v:shape>
      </w:pict>
    </w:r>
    <w:r w:rsidRPr="0085081C">
      <w:rPr>
        <w:noProof/>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-104775</wp:posOffset>
          </wp:positionV>
          <wp:extent cx="3253105" cy="647700"/>
          <wp:effectExtent l="19050" t="0" r="4445" b="0"/>
          <wp:wrapTopAndBottom/>
          <wp:docPr id="5" name="圖片 0" descr="t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test logo.jpg"/>
                  <pic:cNvPicPr>
                    <a:picLocks noChangeAspect="1" noChangeArrowheads="1"/>
                  </pic:cNvPicPr>
                </pic:nvPicPr>
                <pic:blipFill>
                  <a:blip r:embed="rId2"/>
                  <a:srcRect/>
                  <a:stretch>
                    <a:fillRect/>
                  </a:stretch>
                </pic:blipFill>
                <pic:spPr bwMode="auto">
                  <a:xfrm>
                    <a:off x="0" y="0"/>
                    <a:ext cx="3253105" cy="647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FBF"/>
    <w:multiLevelType w:val="hybridMultilevel"/>
    <w:tmpl w:val="6802AD6A"/>
    <w:lvl w:ilvl="0" w:tplc="C04E11D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800A5"/>
    <w:multiLevelType w:val="hybridMultilevel"/>
    <w:tmpl w:val="D6949782"/>
    <w:lvl w:ilvl="0" w:tplc="C04E11D4">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4D2307"/>
    <w:multiLevelType w:val="hybridMultilevel"/>
    <w:tmpl w:val="140A069C"/>
    <w:lvl w:ilvl="0" w:tplc="C04E11D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340448"/>
    <w:multiLevelType w:val="hybridMultilevel"/>
    <w:tmpl w:val="EB165530"/>
    <w:lvl w:ilvl="0" w:tplc="C04E1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0BF0F11"/>
    <w:multiLevelType w:val="hybridMultilevel"/>
    <w:tmpl w:val="B98CDD92"/>
    <w:lvl w:ilvl="0" w:tplc="C04E1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23"/>
    <o:shapelayout v:ext="edit">
      <o:idmap v:ext="edit" data="7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69F"/>
    <w:rsid w:val="00000963"/>
    <w:rsid w:val="0001143E"/>
    <w:rsid w:val="00013882"/>
    <w:rsid w:val="00014B26"/>
    <w:rsid w:val="00051814"/>
    <w:rsid w:val="000975C6"/>
    <w:rsid w:val="000C1D55"/>
    <w:rsid w:val="000D1B3A"/>
    <w:rsid w:val="000F55C8"/>
    <w:rsid w:val="00110D96"/>
    <w:rsid w:val="00133025"/>
    <w:rsid w:val="0014569D"/>
    <w:rsid w:val="001533CD"/>
    <w:rsid w:val="00162612"/>
    <w:rsid w:val="00170484"/>
    <w:rsid w:val="001B25D1"/>
    <w:rsid w:val="001B6BFE"/>
    <w:rsid w:val="001F1196"/>
    <w:rsid w:val="00210625"/>
    <w:rsid w:val="002337E6"/>
    <w:rsid w:val="00233DA8"/>
    <w:rsid w:val="00243D16"/>
    <w:rsid w:val="00253D9A"/>
    <w:rsid w:val="0026169F"/>
    <w:rsid w:val="00262842"/>
    <w:rsid w:val="00270334"/>
    <w:rsid w:val="0027068C"/>
    <w:rsid w:val="00274D0E"/>
    <w:rsid w:val="00293270"/>
    <w:rsid w:val="002A3DDA"/>
    <w:rsid w:val="002A4E45"/>
    <w:rsid w:val="002A664E"/>
    <w:rsid w:val="002B03B4"/>
    <w:rsid w:val="002D3396"/>
    <w:rsid w:val="002D5463"/>
    <w:rsid w:val="002F1920"/>
    <w:rsid w:val="00300632"/>
    <w:rsid w:val="003030E5"/>
    <w:rsid w:val="003040D1"/>
    <w:rsid w:val="00305B18"/>
    <w:rsid w:val="00325A6B"/>
    <w:rsid w:val="0036782F"/>
    <w:rsid w:val="00367A3F"/>
    <w:rsid w:val="003716AC"/>
    <w:rsid w:val="00372ED8"/>
    <w:rsid w:val="0037618C"/>
    <w:rsid w:val="003A6A80"/>
    <w:rsid w:val="003C5352"/>
    <w:rsid w:val="003E07E4"/>
    <w:rsid w:val="00435D05"/>
    <w:rsid w:val="0046767B"/>
    <w:rsid w:val="00470F20"/>
    <w:rsid w:val="00482657"/>
    <w:rsid w:val="004B1AE9"/>
    <w:rsid w:val="004C2202"/>
    <w:rsid w:val="004C61A5"/>
    <w:rsid w:val="004E1564"/>
    <w:rsid w:val="004F6C00"/>
    <w:rsid w:val="00543F87"/>
    <w:rsid w:val="00560D72"/>
    <w:rsid w:val="0056600C"/>
    <w:rsid w:val="005672EE"/>
    <w:rsid w:val="00576D52"/>
    <w:rsid w:val="00590836"/>
    <w:rsid w:val="00593245"/>
    <w:rsid w:val="005A0EF6"/>
    <w:rsid w:val="005A6609"/>
    <w:rsid w:val="005C59D6"/>
    <w:rsid w:val="005D24F1"/>
    <w:rsid w:val="005E1F15"/>
    <w:rsid w:val="005E5A53"/>
    <w:rsid w:val="005E666F"/>
    <w:rsid w:val="0060420E"/>
    <w:rsid w:val="00612F8C"/>
    <w:rsid w:val="006279D1"/>
    <w:rsid w:val="00652869"/>
    <w:rsid w:val="00653F46"/>
    <w:rsid w:val="00693ED8"/>
    <w:rsid w:val="006A58EE"/>
    <w:rsid w:val="006A6B32"/>
    <w:rsid w:val="006C6AF2"/>
    <w:rsid w:val="006F12BC"/>
    <w:rsid w:val="006F71CA"/>
    <w:rsid w:val="00716821"/>
    <w:rsid w:val="00726480"/>
    <w:rsid w:val="007671EE"/>
    <w:rsid w:val="007731A6"/>
    <w:rsid w:val="007A1127"/>
    <w:rsid w:val="007A1D34"/>
    <w:rsid w:val="007A1F60"/>
    <w:rsid w:val="007B3709"/>
    <w:rsid w:val="007D3B43"/>
    <w:rsid w:val="007D5593"/>
    <w:rsid w:val="007E316F"/>
    <w:rsid w:val="00810301"/>
    <w:rsid w:val="00833C28"/>
    <w:rsid w:val="00834BE3"/>
    <w:rsid w:val="00850559"/>
    <w:rsid w:val="0085081C"/>
    <w:rsid w:val="008A5666"/>
    <w:rsid w:val="008B3299"/>
    <w:rsid w:val="008D589B"/>
    <w:rsid w:val="008D6B38"/>
    <w:rsid w:val="008E6E21"/>
    <w:rsid w:val="008F5F1D"/>
    <w:rsid w:val="00910214"/>
    <w:rsid w:val="00930FB0"/>
    <w:rsid w:val="009313F1"/>
    <w:rsid w:val="00932C16"/>
    <w:rsid w:val="00936D17"/>
    <w:rsid w:val="00944FB0"/>
    <w:rsid w:val="00961BDC"/>
    <w:rsid w:val="00974FB7"/>
    <w:rsid w:val="00993A03"/>
    <w:rsid w:val="00994AB9"/>
    <w:rsid w:val="009957E8"/>
    <w:rsid w:val="009A206F"/>
    <w:rsid w:val="009B1183"/>
    <w:rsid w:val="009B2825"/>
    <w:rsid w:val="009D3D7A"/>
    <w:rsid w:val="009E2A11"/>
    <w:rsid w:val="009E3A5B"/>
    <w:rsid w:val="00A619B6"/>
    <w:rsid w:val="00A719E3"/>
    <w:rsid w:val="00A73EB3"/>
    <w:rsid w:val="00A829A9"/>
    <w:rsid w:val="00A85253"/>
    <w:rsid w:val="00A93A62"/>
    <w:rsid w:val="00AB0892"/>
    <w:rsid w:val="00AD0C2F"/>
    <w:rsid w:val="00AF4600"/>
    <w:rsid w:val="00AF5852"/>
    <w:rsid w:val="00B17CA2"/>
    <w:rsid w:val="00BD24B5"/>
    <w:rsid w:val="00C136B1"/>
    <w:rsid w:val="00C16040"/>
    <w:rsid w:val="00C20FD5"/>
    <w:rsid w:val="00C319F6"/>
    <w:rsid w:val="00C33122"/>
    <w:rsid w:val="00C44033"/>
    <w:rsid w:val="00C461E6"/>
    <w:rsid w:val="00CC1EB4"/>
    <w:rsid w:val="00CC23B2"/>
    <w:rsid w:val="00D03980"/>
    <w:rsid w:val="00D03DC3"/>
    <w:rsid w:val="00D16A7D"/>
    <w:rsid w:val="00D415A1"/>
    <w:rsid w:val="00D479C5"/>
    <w:rsid w:val="00D547B5"/>
    <w:rsid w:val="00D60282"/>
    <w:rsid w:val="00D61FEA"/>
    <w:rsid w:val="00D6754E"/>
    <w:rsid w:val="00D717B6"/>
    <w:rsid w:val="00D81324"/>
    <w:rsid w:val="00D8313E"/>
    <w:rsid w:val="00D94FF0"/>
    <w:rsid w:val="00DC4213"/>
    <w:rsid w:val="00DE34C6"/>
    <w:rsid w:val="00DF6F74"/>
    <w:rsid w:val="00E02DB0"/>
    <w:rsid w:val="00E100C4"/>
    <w:rsid w:val="00E532BA"/>
    <w:rsid w:val="00E60937"/>
    <w:rsid w:val="00E62AC3"/>
    <w:rsid w:val="00E65ED8"/>
    <w:rsid w:val="00E745C2"/>
    <w:rsid w:val="00E8194C"/>
    <w:rsid w:val="00E82975"/>
    <w:rsid w:val="00EA41A9"/>
    <w:rsid w:val="00EE2563"/>
    <w:rsid w:val="00F05D77"/>
    <w:rsid w:val="00F10EB6"/>
    <w:rsid w:val="00F27E71"/>
    <w:rsid w:val="00F31780"/>
    <w:rsid w:val="00F40236"/>
    <w:rsid w:val="00F451CE"/>
    <w:rsid w:val="00F46629"/>
    <w:rsid w:val="00F70F0C"/>
    <w:rsid w:val="00F75308"/>
    <w:rsid w:val="00F8406D"/>
    <w:rsid w:val="00F84A21"/>
    <w:rsid w:val="00FB110F"/>
    <w:rsid w:val="00FB2CEC"/>
    <w:rsid w:val="00FC0358"/>
    <w:rsid w:val="00FC2481"/>
    <w:rsid w:val="00FC69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kern w:val="2"/>
        <w:sz w:val="22"/>
        <w:szCs w:val="22"/>
        <w:lang w:val="en-US" w:eastAsia="zh-TW"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9F"/>
    <w:pPr>
      <w:widowControl w:val="0"/>
      <w:spacing w:line="240" w:lineRule="auto"/>
    </w:pPr>
    <w:rPr>
      <w:rFonts w:ascii="Calibri" w:eastAsia="新細明體" w:hAnsi="Calibri" w:cs="Times New Roman"/>
      <w:sz w:val="24"/>
    </w:rPr>
  </w:style>
  <w:style w:type="paragraph" w:styleId="Heading1">
    <w:name w:val="heading 1"/>
    <w:basedOn w:val="Normal"/>
    <w:next w:val="Normal"/>
    <w:link w:val="Heading1Char"/>
    <w:uiPriority w:val="99"/>
    <w:qFormat/>
    <w:rsid w:val="00325A6B"/>
    <w:pPr>
      <w:keepNext/>
      <w:widowControl/>
      <w:tabs>
        <w:tab w:val="left" w:pos="540"/>
      </w:tabs>
      <w:overflowPunct w:val="0"/>
      <w:autoSpaceDE w:val="0"/>
      <w:autoSpaceDN w:val="0"/>
      <w:adjustRightInd w:val="0"/>
      <w:spacing w:line="211" w:lineRule="atLeast"/>
      <w:textAlignment w:val="baseline"/>
      <w:outlineLvl w:val="0"/>
    </w:pPr>
    <w:rPr>
      <w:rFonts w:ascii="Cambria" w:hAnsi="Cambria"/>
      <w:b/>
      <w:bCs/>
      <w:kern w:val="52"/>
      <w:sz w:val="52"/>
      <w:szCs w:val="5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69F"/>
    <w:pPr>
      <w:ind w:leftChars="200" w:left="480"/>
    </w:pPr>
  </w:style>
  <w:style w:type="paragraph" w:styleId="Header">
    <w:name w:val="header"/>
    <w:basedOn w:val="Normal"/>
    <w:link w:val="HeaderChar"/>
    <w:uiPriority w:val="99"/>
    <w:semiHidden/>
    <w:unhideWhenUsed/>
    <w:rsid w:val="00E02D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02DB0"/>
    <w:rPr>
      <w:rFonts w:ascii="Calibri" w:eastAsia="新細明體" w:hAnsi="Calibri" w:cs="Times New Roman"/>
      <w:sz w:val="20"/>
      <w:szCs w:val="20"/>
    </w:rPr>
  </w:style>
  <w:style w:type="paragraph" w:styleId="Footer">
    <w:name w:val="footer"/>
    <w:basedOn w:val="Normal"/>
    <w:link w:val="FooterChar"/>
    <w:uiPriority w:val="99"/>
    <w:unhideWhenUsed/>
    <w:rsid w:val="00E02D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2DB0"/>
    <w:rPr>
      <w:rFonts w:ascii="Calibri" w:eastAsia="新細明體" w:hAnsi="Calibri" w:cs="Times New Roman"/>
      <w:sz w:val="20"/>
      <w:szCs w:val="20"/>
    </w:rPr>
  </w:style>
  <w:style w:type="character" w:customStyle="1" w:styleId="Heading1Char">
    <w:name w:val="Heading 1 Char"/>
    <w:basedOn w:val="DefaultParagraphFont"/>
    <w:link w:val="Heading1"/>
    <w:uiPriority w:val="99"/>
    <w:rsid w:val="00325A6B"/>
    <w:rPr>
      <w:rFonts w:ascii="Cambria" w:eastAsia="新細明體" w:hAnsi="Cambria" w:cs="Times New Roman"/>
      <w:b/>
      <w:bCs/>
      <w:kern w:val="52"/>
      <w:sz w:val="52"/>
      <w:szCs w:val="52"/>
      <w:lang w:val="en-GB"/>
    </w:rPr>
  </w:style>
  <w:style w:type="paragraph" w:customStyle="1" w:styleId="Default">
    <w:name w:val="Default"/>
    <w:rsid w:val="00910214"/>
    <w:pPr>
      <w:autoSpaceDE w:val="0"/>
      <w:autoSpaceDN w:val="0"/>
      <w:adjustRightInd w:val="0"/>
      <w:spacing w:line="240" w:lineRule="auto"/>
    </w:pPr>
    <w:rPr>
      <w:rFonts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E756B-16B3-47A8-A585-E0E9F7D0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winniechung</dc:creator>
  <cp:lastModifiedBy>thomaslau</cp:lastModifiedBy>
  <cp:revision>6</cp:revision>
  <cp:lastPrinted>2018-05-14T08:10:00Z</cp:lastPrinted>
  <dcterms:created xsi:type="dcterms:W3CDTF">2018-04-25T02:23:00Z</dcterms:created>
  <dcterms:modified xsi:type="dcterms:W3CDTF">2019-05-21T08:09:00Z</dcterms:modified>
</cp:coreProperties>
</file>